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464822" w14:textId="2DB11D9C" w:rsidR="00CE0B66" w:rsidRPr="00AC4839" w:rsidRDefault="00CE0B66" w:rsidP="00064871">
      <w:pPr>
        <w:spacing w:line="276" w:lineRule="auto"/>
        <w:jc w:val="center"/>
        <w:rPr>
          <w:b/>
          <w:bCs/>
          <w:sz w:val="28"/>
          <w:szCs w:val="28"/>
        </w:rPr>
      </w:pPr>
      <w:r w:rsidRPr="00AC4839">
        <w:rPr>
          <w:b/>
          <w:bCs/>
          <w:sz w:val="28"/>
          <w:szCs w:val="28"/>
        </w:rPr>
        <w:t>The PEACE PLUS Programme</w:t>
      </w:r>
      <w:r w:rsidR="00CF552B" w:rsidRPr="00AC4839">
        <w:rPr>
          <w:b/>
          <w:bCs/>
          <w:sz w:val="28"/>
          <w:szCs w:val="28"/>
        </w:rPr>
        <w:t xml:space="preserve">- </w:t>
      </w:r>
      <w:r w:rsidR="00CA4827">
        <w:rPr>
          <w:b/>
          <w:bCs/>
          <w:sz w:val="28"/>
          <w:szCs w:val="28"/>
        </w:rPr>
        <w:t>Environment Sector</w:t>
      </w:r>
    </w:p>
    <w:tbl>
      <w:tblPr>
        <w:tblStyle w:val="TableGrid"/>
        <w:tblW w:w="10207" w:type="dxa"/>
        <w:tblInd w:w="-431" w:type="dxa"/>
        <w:tblLook w:val="04A0" w:firstRow="1" w:lastRow="0" w:firstColumn="1" w:lastColumn="0" w:noHBand="0" w:noVBand="1"/>
      </w:tblPr>
      <w:tblGrid>
        <w:gridCol w:w="10207"/>
      </w:tblGrid>
      <w:tr w:rsidR="00C65648" w14:paraId="477EC3EA" w14:textId="77777777" w:rsidTr="00FD33AC">
        <w:tc>
          <w:tcPr>
            <w:tcW w:w="10207" w:type="dxa"/>
            <w:shd w:val="clear" w:color="auto" w:fill="F2F2F2" w:themeFill="background1" w:themeFillShade="F2"/>
          </w:tcPr>
          <w:p w14:paraId="2666C59D" w14:textId="0C5F5830" w:rsidR="001C7311" w:rsidRDefault="00C65648" w:rsidP="00064871">
            <w:pPr>
              <w:spacing w:line="276" w:lineRule="auto"/>
              <w:jc w:val="both"/>
              <w:rPr>
                <w:b/>
                <w:bCs/>
              </w:rPr>
            </w:pPr>
            <w:r w:rsidRPr="00B63966">
              <w:rPr>
                <w:b/>
                <w:bCs/>
              </w:rPr>
              <w:t xml:space="preserve">The PEACE PLUS Programme is a €1bn investment in the social, economic and environmental development of Northern Ireland </w:t>
            </w:r>
            <w:r w:rsidR="004D73E6" w:rsidRPr="00B63966">
              <w:rPr>
                <w:b/>
                <w:bCs/>
              </w:rPr>
              <w:t xml:space="preserve">and </w:t>
            </w:r>
            <w:r w:rsidRPr="00B63966">
              <w:rPr>
                <w:b/>
                <w:bCs/>
              </w:rPr>
              <w:t xml:space="preserve">the border </w:t>
            </w:r>
            <w:r w:rsidR="001C7311" w:rsidRPr="00B63966">
              <w:rPr>
                <w:b/>
                <w:bCs/>
              </w:rPr>
              <w:t>counties</w:t>
            </w:r>
            <w:r w:rsidRPr="00B63966">
              <w:rPr>
                <w:b/>
                <w:bCs/>
              </w:rPr>
              <w:t xml:space="preserve"> of Ireland</w:t>
            </w:r>
            <w:r w:rsidR="001C7311" w:rsidRPr="00B63966">
              <w:rPr>
                <w:b/>
                <w:bCs/>
              </w:rPr>
              <w:t>.</w:t>
            </w:r>
            <w:r w:rsidRPr="00B63966">
              <w:rPr>
                <w:b/>
                <w:bCs/>
              </w:rPr>
              <w:t xml:space="preserve"> </w:t>
            </w:r>
          </w:p>
          <w:p w14:paraId="40C6F291" w14:textId="77777777" w:rsidR="00B63966" w:rsidRPr="00B63966" w:rsidRDefault="00B63966" w:rsidP="00064871">
            <w:pPr>
              <w:spacing w:line="276" w:lineRule="auto"/>
              <w:jc w:val="both"/>
              <w:rPr>
                <w:b/>
                <w:bCs/>
              </w:rPr>
            </w:pPr>
          </w:p>
          <w:p w14:paraId="6CED89D1" w14:textId="3193A24B" w:rsidR="001C7311" w:rsidRDefault="007554C4" w:rsidP="00064871">
            <w:pPr>
              <w:spacing w:line="276" w:lineRule="auto"/>
              <w:jc w:val="both"/>
              <w:rPr>
                <w:rFonts w:cstheme="minorHAnsi"/>
              </w:rPr>
            </w:pPr>
            <w:r w:rsidRPr="00B63966">
              <w:t>Building</w:t>
            </w:r>
            <w:r w:rsidR="003D22F1" w:rsidRPr="00B63966">
              <w:t xml:space="preserve"> upon </w:t>
            </w:r>
            <w:r w:rsidRPr="00B63966">
              <w:t xml:space="preserve">the success of </w:t>
            </w:r>
            <w:r w:rsidR="003D22F1" w:rsidRPr="00B63966">
              <w:t xml:space="preserve">previous </w:t>
            </w:r>
            <w:r w:rsidR="007C0229">
              <w:t xml:space="preserve">cross border </w:t>
            </w:r>
            <w:r w:rsidR="003D22F1" w:rsidRPr="00B63966">
              <w:t>PEACE and INTERREG Programmes</w:t>
            </w:r>
            <w:r w:rsidRPr="00B63966">
              <w:t>, it</w:t>
            </w:r>
            <w:r w:rsidR="003D22F1" w:rsidRPr="00B63966">
              <w:rPr>
                <w:rFonts w:cstheme="minorHAnsi"/>
              </w:rPr>
              <w:t xml:space="preserve"> will contribute to a more peaceful, prosperous and stable society</w:t>
            </w:r>
            <w:r w:rsidR="001C7311" w:rsidRPr="00B63966">
              <w:rPr>
                <w:rFonts w:cstheme="minorHAnsi"/>
              </w:rPr>
              <w:t xml:space="preserve">, leaving </w:t>
            </w:r>
            <w:r w:rsidR="003D22F1" w:rsidRPr="00B63966">
              <w:rPr>
                <w:rFonts w:cstheme="minorHAnsi"/>
              </w:rPr>
              <w:t>a lasting legacy</w:t>
            </w:r>
            <w:r w:rsidR="00B63966">
              <w:rPr>
                <w:rFonts w:cstheme="minorHAnsi"/>
              </w:rPr>
              <w:t xml:space="preserve"> across the Programme area</w:t>
            </w:r>
            <w:r w:rsidR="003D22F1" w:rsidRPr="00B63966">
              <w:rPr>
                <w:rFonts w:cstheme="minorHAnsi"/>
              </w:rPr>
              <w:t xml:space="preserve">. </w:t>
            </w:r>
            <w:r w:rsidRPr="00B63966">
              <w:rPr>
                <w:rFonts w:eastAsia="Times New Roman" w:cstheme="minorHAnsi"/>
                <w:lang w:eastAsia="en-GB"/>
              </w:rPr>
              <w:t>This will</w:t>
            </w:r>
            <w:r w:rsidR="003D22F1" w:rsidRPr="00B63966">
              <w:rPr>
                <w:rFonts w:eastAsia="Times New Roman" w:cstheme="minorHAnsi"/>
                <w:lang w:eastAsia="en-GB"/>
              </w:rPr>
              <w:t xml:space="preserve"> </w:t>
            </w:r>
            <w:r w:rsidRPr="00B63966">
              <w:rPr>
                <w:rFonts w:eastAsia="Times New Roman" w:cstheme="minorHAnsi"/>
                <w:lang w:eastAsia="en-GB"/>
              </w:rPr>
              <w:t xml:space="preserve">be </w:t>
            </w:r>
            <w:r w:rsidR="003D22F1" w:rsidRPr="00B63966">
              <w:rPr>
                <w:rFonts w:eastAsia="Times New Roman" w:cstheme="minorHAnsi"/>
                <w:lang w:eastAsia="en-GB"/>
              </w:rPr>
              <w:t>achieve</w:t>
            </w:r>
            <w:r w:rsidRPr="00B63966">
              <w:rPr>
                <w:rFonts w:eastAsia="Times New Roman" w:cstheme="minorHAnsi"/>
                <w:lang w:eastAsia="en-GB"/>
              </w:rPr>
              <w:t>d</w:t>
            </w:r>
            <w:r w:rsidR="003D22F1" w:rsidRPr="00B63966">
              <w:rPr>
                <w:rFonts w:eastAsia="Times New Roman" w:cstheme="minorHAnsi"/>
                <w:lang w:eastAsia="en-GB"/>
              </w:rPr>
              <w:t xml:space="preserve"> </w:t>
            </w:r>
            <w:r w:rsidRPr="00B63966">
              <w:rPr>
                <w:rFonts w:eastAsia="Times New Roman" w:cstheme="minorHAnsi"/>
                <w:lang w:eastAsia="en-GB"/>
              </w:rPr>
              <w:t>by</w:t>
            </w:r>
            <w:r w:rsidR="003D22F1" w:rsidRPr="00B63966">
              <w:rPr>
                <w:rFonts w:eastAsia="Times New Roman" w:cstheme="minorHAnsi"/>
                <w:lang w:eastAsia="en-GB"/>
              </w:rPr>
              <w:t xml:space="preserve"> funding activities that promote peace and reconciliation </w:t>
            </w:r>
            <w:r w:rsidRPr="00B63966">
              <w:rPr>
                <w:rFonts w:eastAsia="Times New Roman" w:cstheme="minorHAnsi"/>
                <w:lang w:eastAsia="en-GB"/>
              </w:rPr>
              <w:t xml:space="preserve">across </w:t>
            </w:r>
            <w:r w:rsidR="00A2317E">
              <w:rPr>
                <w:rFonts w:eastAsia="Times New Roman" w:cstheme="minorHAnsi"/>
                <w:lang w:eastAsia="en-GB"/>
              </w:rPr>
              <w:t xml:space="preserve">six </w:t>
            </w:r>
            <w:r w:rsidR="00E506C3">
              <w:rPr>
                <w:rFonts w:eastAsia="Times New Roman" w:cstheme="minorHAnsi"/>
                <w:lang w:eastAsia="en-GB"/>
              </w:rPr>
              <w:t>t</w:t>
            </w:r>
            <w:r w:rsidRPr="00B63966">
              <w:rPr>
                <w:rFonts w:eastAsia="Times New Roman" w:cstheme="minorHAnsi"/>
                <w:lang w:eastAsia="en-GB"/>
              </w:rPr>
              <w:t>hemes, which encompass 21 individual investment areas</w:t>
            </w:r>
            <w:r w:rsidR="00ED447B">
              <w:rPr>
                <w:rFonts w:eastAsia="Times New Roman" w:cstheme="minorHAnsi"/>
                <w:lang w:eastAsia="en-GB"/>
              </w:rPr>
              <w:t xml:space="preserve"> as outlined below</w:t>
            </w:r>
            <w:r w:rsidR="00B63966">
              <w:rPr>
                <w:rFonts w:eastAsia="Times New Roman" w:cstheme="minorHAnsi"/>
                <w:lang w:eastAsia="en-GB"/>
              </w:rPr>
              <w:t xml:space="preserve">. </w:t>
            </w:r>
            <w:r w:rsidR="001D2203">
              <w:rPr>
                <w:rFonts w:eastAsia="Times New Roman" w:cstheme="minorHAnsi"/>
                <w:lang w:eastAsia="en-GB"/>
              </w:rPr>
              <w:t>These</w:t>
            </w:r>
            <w:r w:rsidR="001D2203" w:rsidRPr="001D2203">
              <w:rPr>
                <w:rFonts w:cstheme="minorHAnsi"/>
              </w:rPr>
              <w:t xml:space="preserve"> have been d</w:t>
            </w:r>
            <w:r w:rsidR="001D2203">
              <w:rPr>
                <w:rFonts w:cstheme="minorHAnsi"/>
              </w:rPr>
              <w:t xml:space="preserve">eveloped </w:t>
            </w:r>
            <w:r w:rsidR="001D2203" w:rsidRPr="001D2203">
              <w:rPr>
                <w:rFonts w:cstheme="minorHAnsi"/>
              </w:rPr>
              <w:t xml:space="preserve">to optimise engagement and participation across all </w:t>
            </w:r>
            <w:r w:rsidR="00A21FC5">
              <w:rPr>
                <w:rFonts w:cstheme="minorHAnsi"/>
              </w:rPr>
              <w:t xml:space="preserve">ages, </w:t>
            </w:r>
            <w:r w:rsidR="001D2203" w:rsidRPr="001D2203">
              <w:rPr>
                <w:rFonts w:cstheme="minorHAnsi"/>
              </w:rPr>
              <w:t>communities and sectors</w:t>
            </w:r>
            <w:r w:rsidR="001D2203">
              <w:rPr>
                <w:rFonts w:cstheme="minorHAnsi"/>
              </w:rPr>
              <w:t>.</w:t>
            </w:r>
          </w:p>
          <w:p w14:paraId="07C5ED31" w14:textId="77777777" w:rsidR="00ED447B" w:rsidRDefault="00ED447B" w:rsidP="00064871">
            <w:pPr>
              <w:spacing w:line="276" w:lineRule="auto"/>
              <w:jc w:val="both"/>
              <w:rPr>
                <w:rFonts w:cstheme="minorHAnsi"/>
              </w:rPr>
            </w:pPr>
          </w:p>
          <w:p w14:paraId="35917720" w14:textId="2893C5F1" w:rsidR="00ED447B" w:rsidRDefault="00ED447B" w:rsidP="00ED447B">
            <w:pPr>
              <w:spacing w:line="276" w:lineRule="auto"/>
              <w:jc w:val="center"/>
              <w:rPr>
                <w:rFonts w:cstheme="minorHAnsi"/>
              </w:rPr>
            </w:pPr>
            <w:r>
              <w:rPr>
                <w:noProof/>
                <w:lang w:val="en-IE" w:eastAsia="en-IE"/>
              </w:rPr>
              <w:drawing>
                <wp:inline distT="0" distB="0" distL="0" distR="0" wp14:anchorId="481D74AF" wp14:editId="2D123804">
                  <wp:extent cx="5731510" cy="1295400"/>
                  <wp:effectExtent l="0" t="0" r="2540" b="0"/>
                  <wp:docPr id="6" name="Content Placeholder 8">
                    <a:extLst xmlns:a="http://schemas.openxmlformats.org/drawingml/2006/main">
                      <a:ext uri="{FF2B5EF4-FFF2-40B4-BE49-F238E27FC236}">
                        <a16:creationId xmlns:a16="http://schemas.microsoft.com/office/drawing/2014/main" id="{B2F65C2C-7BA0-4397-B501-DC91CB52252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ntent Placeholder 8">
                            <a:extLst>
                              <a:ext uri="{FF2B5EF4-FFF2-40B4-BE49-F238E27FC236}">
                                <a16:creationId xmlns:a16="http://schemas.microsoft.com/office/drawing/2014/main" id="{B2F65C2C-7BA0-4397-B501-DC91CB52252B}"/>
                              </a:ext>
                            </a:extLst>
                          </pic:cNvPr>
                          <pic:cNvPicPr>
                            <a:picLocks noChangeAspect="1"/>
                          </pic:cNvPicPr>
                        </pic:nvPicPr>
                        <pic:blipFill>
                          <a:blip r:embed="rId8"/>
                          <a:stretch>
                            <a:fillRect/>
                          </a:stretch>
                        </pic:blipFill>
                        <pic:spPr bwMode="auto">
                          <a:xfrm>
                            <a:off x="0" y="0"/>
                            <a:ext cx="5731510" cy="1295400"/>
                          </a:xfrm>
                          <a:prstGeom prst="rect">
                            <a:avLst/>
                          </a:prstGeom>
                          <a:noFill/>
                          <a:ln w="9525">
                            <a:noFill/>
                            <a:miter lim="800000"/>
                            <a:headEnd/>
                            <a:tailEnd/>
                          </a:ln>
                        </pic:spPr>
                      </pic:pic>
                    </a:graphicData>
                  </a:graphic>
                </wp:inline>
              </w:drawing>
            </w:r>
          </w:p>
          <w:p w14:paraId="3C3D3AB9" w14:textId="77777777" w:rsidR="001D2203" w:rsidRPr="001D2203" w:rsidRDefault="001D2203" w:rsidP="00064871">
            <w:pPr>
              <w:spacing w:line="276" w:lineRule="auto"/>
              <w:jc w:val="both"/>
              <w:rPr>
                <w:rFonts w:ascii="Arial" w:hAnsi="Arial" w:cs="Arial"/>
              </w:rPr>
            </w:pPr>
          </w:p>
          <w:p w14:paraId="34E27992" w14:textId="66C9BF0A" w:rsidR="00E90CE7" w:rsidRDefault="00696E53" w:rsidP="00192B47">
            <w:pPr>
              <w:spacing w:line="276" w:lineRule="auto"/>
              <w:jc w:val="both"/>
              <w:rPr>
                <w:rFonts w:eastAsia="Times New Roman" w:cstheme="minorHAnsi"/>
                <w:lang w:eastAsia="en-GB"/>
              </w:rPr>
            </w:pPr>
            <w:r w:rsidRPr="00B63966">
              <w:rPr>
                <w:rFonts w:eastAsia="Times New Roman" w:cstheme="minorHAnsi"/>
                <w:lang w:eastAsia="en-GB"/>
              </w:rPr>
              <w:t xml:space="preserve">A public consultation regarding the </w:t>
            </w:r>
            <w:r w:rsidR="00E34BEA">
              <w:rPr>
                <w:rFonts w:eastAsia="Times New Roman" w:cstheme="minorHAnsi"/>
                <w:lang w:eastAsia="en-GB"/>
              </w:rPr>
              <w:t xml:space="preserve">potential </w:t>
            </w:r>
            <w:r w:rsidRPr="00B63966">
              <w:rPr>
                <w:rFonts w:eastAsia="Times New Roman" w:cstheme="minorHAnsi"/>
                <w:lang w:eastAsia="en-GB"/>
              </w:rPr>
              <w:t xml:space="preserve">PEACE PLUS Programme design was held in 2019-20. In response to the views expressed, </w:t>
            </w:r>
            <w:r w:rsidR="00CE32E1">
              <w:rPr>
                <w:rFonts w:eastAsia="Times New Roman" w:cstheme="minorHAnsi"/>
                <w:lang w:eastAsia="en-GB"/>
              </w:rPr>
              <w:t xml:space="preserve">the </w:t>
            </w:r>
            <w:r w:rsidRPr="00B63966">
              <w:rPr>
                <w:rFonts w:eastAsia="Times New Roman" w:cstheme="minorHAnsi"/>
                <w:lang w:eastAsia="en-GB"/>
              </w:rPr>
              <w:t xml:space="preserve">SEUPB has developed the Programme to ensure multiple opportunities for engagement by </w:t>
            </w:r>
            <w:r w:rsidR="00D57013">
              <w:rPr>
                <w:rFonts w:eastAsia="Times New Roman" w:cstheme="minorHAnsi"/>
                <w:b/>
                <w:lang w:eastAsia="en-GB"/>
              </w:rPr>
              <w:t>the Environment Sector</w:t>
            </w:r>
            <w:r w:rsidRPr="00B63966">
              <w:rPr>
                <w:rFonts w:eastAsia="Times New Roman" w:cstheme="minorHAnsi"/>
                <w:lang w:eastAsia="en-GB"/>
              </w:rPr>
              <w:t xml:space="preserve">. </w:t>
            </w:r>
            <w:r w:rsidR="00D57013">
              <w:rPr>
                <w:rFonts w:eastAsia="Times New Roman" w:cstheme="minorHAnsi"/>
                <w:lang w:eastAsia="en-GB"/>
              </w:rPr>
              <w:t xml:space="preserve">This includes a dedicated </w:t>
            </w:r>
            <w:r w:rsidR="00AC0224">
              <w:rPr>
                <w:rFonts w:eastAsia="Times New Roman" w:cstheme="minorHAnsi"/>
                <w:lang w:eastAsia="en-GB"/>
              </w:rPr>
              <w:t>Environmental Theme (5), which comprises six individual component investment areas</w:t>
            </w:r>
            <w:r w:rsidR="00E506C3">
              <w:rPr>
                <w:rFonts w:eastAsia="Times New Roman" w:cstheme="minorHAnsi"/>
                <w:lang w:eastAsia="en-GB"/>
              </w:rPr>
              <w:t xml:space="preserve">. In addition, </w:t>
            </w:r>
            <w:r w:rsidR="002F29F7">
              <w:rPr>
                <w:rFonts w:eastAsia="Times New Roman" w:cstheme="minorHAnsi"/>
                <w:lang w:eastAsia="en-GB"/>
              </w:rPr>
              <w:t xml:space="preserve">PEACE PLUS includes other investment areas, which although not exclusively for the environment, will provide significant opportunities for Environment Sector involvement (Themes </w:t>
            </w:r>
            <w:r w:rsidR="00AC0224">
              <w:rPr>
                <w:rFonts w:eastAsia="Times New Roman" w:cstheme="minorHAnsi"/>
                <w:lang w:eastAsia="en-GB"/>
              </w:rPr>
              <w:t>2,3,4 and 6)</w:t>
            </w:r>
            <w:r w:rsidR="002F29F7">
              <w:rPr>
                <w:rFonts w:eastAsia="Times New Roman" w:cstheme="minorHAnsi"/>
                <w:lang w:eastAsia="en-GB"/>
              </w:rPr>
              <w:t xml:space="preserve">. </w:t>
            </w:r>
          </w:p>
          <w:p w14:paraId="3D813FBE" w14:textId="77777777" w:rsidR="002F29F7" w:rsidRDefault="002F29F7" w:rsidP="00192B47">
            <w:pPr>
              <w:spacing w:line="276" w:lineRule="auto"/>
              <w:jc w:val="both"/>
              <w:rPr>
                <w:rFonts w:eastAsia="Times New Roman" w:cstheme="minorHAnsi"/>
                <w:lang w:eastAsia="en-GB"/>
              </w:rPr>
            </w:pPr>
          </w:p>
          <w:p w14:paraId="31FF1EB2" w14:textId="64B2E17C" w:rsidR="005029C9" w:rsidRDefault="00D261A9" w:rsidP="00192B47">
            <w:pPr>
              <w:spacing w:line="276" w:lineRule="auto"/>
              <w:jc w:val="both"/>
              <w:rPr>
                <w:rFonts w:eastAsia="Times New Roman" w:cstheme="minorHAnsi"/>
                <w:lang w:eastAsia="en-GB"/>
              </w:rPr>
            </w:pPr>
            <w:r>
              <w:rPr>
                <w:rFonts w:eastAsia="Times New Roman" w:cstheme="minorHAnsi"/>
                <w:lang w:eastAsia="en-GB"/>
              </w:rPr>
              <w:t xml:space="preserve">We now look forward to </w:t>
            </w:r>
            <w:r w:rsidR="00190C3A">
              <w:rPr>
                <w:rFonts w:eastAsia="Times New Roman" w:cstheme="minorHAnsi"/>
                <w:lang w:eastAsia="en-GB"/>
              </w:rPr>
              <w:t>receiving</w:t>
            </w:r>
            <w:r>
              <w:rPr>
                <w:rFonts w:eastAsia="Times New Roman" w:cstheme="minorHAnsi"/>
                <w:lang w:eastAsia="en-GB"/>
              </w:rPr>
              <w:t xml:space="preserve"> your views on the investment areas proposed</w:t>
            </w:r>
            <w:r w:rsidR="00190C3A">
              <w:rPr>
                <w:rFonts w:eastAsia="Times New Roman" w:cstheme="minorHAnsi"/>
                <w:lang w:eastAsia="en-GB"/>
              </w:rPr>
              <w:t xml:space="preserve"> as part of the Statutory Public Consultation process</w:t>
            </w:r>
            <w:r w:rsidR="00192B47">
              <w:rPr>
                <w:rFonts w:eastAsia="Times New Roman" w:cstheme="minorHAnsi"/>
                <w:lang w:eastAsia="en-GB"/>
              </w:rPr>
              <w:t xml:space="preserve">, and wish to outline all the areas across the Programme which may provide opportunity for you to get involved, and </w:t>
            </w:r>
            <w:r w:rsidR="003B62AB">
              <w:rPr>
                <w:rFonts w:eastAsia="Times New Roman" w:cstheme="minorHAnsi"/>
                <w:lang w:eastAsia="en-GB"/>
              </w:rPr>
              <w:t xml:space="preserve">initiate the </w:t>
            </w:r>
            <w:r w:rsidR="00192B47">
              <w:rPr>
                <w:rFonts w:eastAsia="Times New Roman" w:cstheme="minorHAnsi"/>
                <w:lang w:eastAsia="en-GB"/>
              </w:rPr>
              <w:t xml:space="preserve">preparation of potential projects. </w:t>
            </w:r>
            <w:r w:rsidR="00190C3A">
              <w:rPr>
                <w:rFonts w:eastAsia="Times New Roman" w:cstheme="minorHAnsi"/>
                <w:lang w:eastAsia="en-GB"/>
              </w:rPr>
              <w:t xml:space="preserve"> </w:t>
            </w:r>
          </w:p>
          <w:p w14:paraId="6285F116" w14:textId="15C1419F" w:rsidR="004C7C2E" w:rsidRPr="0045568D" w:rsidRDefault="004C7C2E" w:rsidP="00192B47">
            <w:pPr>
              <w:spacing w:line="276" w:lineRule="auto"/>
              <w:jc w:val="both"/>
              <w:rPr>
                <w:rFonts w:eastAsia="Times New Roman" w:cstheme="minorHAnsi"/>
                <w:lang w:eastAsia="en-GB"/>
              </w:rPr>
            </w:pPr>
          </w:p>
        </w:tc>
      </w:tr>
    </w:tbl>
    <w:p w14:paraId="751AC86F" w14:textId="2C055C21" w:rsidR="005029C9" w:rsidRDefault="005029C9" w:rsidP="005029C9">
      <w:pPr>
        <w:spacing w:line="276" w:lineRule="auto"/>
        <w:rPr>
          <w:b/>
          <w:bCs/>
          <w:sz w:val="28"/>
          <w:szCs w:val="28"/>
        </w:rPr>
      </w:pPr>
    </w:p>
    <w:p w14:paraId="61E9BBBC" w14:textId="717A2891" w:rsidR="00326723" w:rsidRDefault="00326723" w:rsidP="00326723">
      <w:pPr>
        <w:spacing w:line="276" w:lineRule="auto"/>
        <w:jc w:val="center"/>
        <w:rPr>
          <w:b/>
          <w:bCs/>
          <w:sz w:val="28"/>
          <w:szCs w:val="28"/>
        </w:rPr>
      </w:pPr>
      <w:r w:rsidRPr="0045568D">
        <w:rPr>
          <w:b/>
          <w:bCs/>
          <w:sz w:val="28"/>
          <w:szCs w:val="28"/>
        </w:rPr>
        <w:t xml:space="preserve">Theme </w:t>
      </w:r>
      <w:r>
        <w:rPr>
          <w:b/>
          <w:bCs/>
          <w:sz w:val="28"/>
          <w:szCs w:val="28"/>
        </w:rPr>
        <w:t>5</w:t>
      </w:r>
      <w:r w:rsidRPr="0045568D">
        <w:rPr>
          <w:b/>
          <w:bCs/>
          <w:sz w:val="28"/>
          <w:szCs w:val="28"/>
        </w:rPr>
        <w:t xml:space="preserve">: </w:t>
      </w:r>
      <w:r w:rsidR="00AC0224">
        <w:rPr>
          <w:b/>
          <w:bCs/>
          <w:sz w:val="28"/>
          <w:szCs w:val="28"/>
        </w:rPr>
        <w:t>Supporting a Sustainable and Better Connected Future</w:t>
      </w:r>
    </w:p>
    <w:tbl>
      <w:tblPr>
        <w:tblStyle w:val="TableGrid"/>
        <w:tblW w:w="10207" w:type="dxa"/>
        <w:tblInd w:w="-431" w:type="dxa"/>
        <w:tblLook w:val="04A0" w:firstRow="1" w:lastRow="0" w:firstColumn="1" w:lastColumn="0" w:noHBand="0" w:noVBand="1"/>
      </w:tblPr>
      <w:tblGrid>
        <w:gridCol w:w="2411"/>
        <w:gridCol w:w="7796"/>
      </w:tblGrid>
      <w:tr w:rsidR="004C7C2E" w14:paraId="443D5FC4" w14:textId="77777777" w:rsidTr="002B205F">
        <w:tc>
          <w:tcPr>
            <w:tcW w:w="10207" w:type="dxa"/>
            <w:gridSpan w:val="2"/>
            <w:shd w:val="clear" w:color="auto" w:fill="F2F2F2" w:themeFill="background1" w:themeFillShade="F2"/>
          </w:tcPr>
          <w:p w14:paraId="35E10D1F" w14:textId="5B73011A" w:rsidR="004C7C2E" w:rsidRDefault="004C7C2E" w:rsidP="004C7C2E">
            <w:pPr>
              <w:jc w:val="both"/>
              <w:rPr>
                <w:rFonts w:cstheme="minorHAnsi"/>
              </w:rPr>
            </w:pPr>
            <w:r>
              <w:rPr>
                <w:rFonts w:cstheme="minorHAnsi"/>
              </w:rPr>
              <w:t xml:space="preserve">Our natural environment is one of our most important assets and its enhancement and protection is critical </w:t>
            </w:r>
            <w:r w:rsidR="008F5F90">
              <w:rPr>
                <w:rFonts w:cstheme="minorHAnsi"/>
              </w:rPr>
              <w:t xml:space="preserve">to </w:t>
            </w:r>
            <w:r>
              <w:rPr>
                <w:rFonts w:cstheme="minorHAnsi"/>
              </w:rPr>
              <w:t>future economic and social development. Strategic cross border collaboration provides an opportunity to deliver a sustainable thriving environment and a more prosperous and health</w:t>
            </w:r>
            <w:r w:rsidR="00E506C3">
              <w:rPr>
                <w:rFonts w:cstheme="minorHAnsi"/>
              </w:rPr>
              <w:t>ier</w:t>
            </w:r>
            <w:r>
              <w:rPr>
                <w:rFonts w:cstheme="minorHAnsi"/>
              </w:rPr>
              <w:t xml:space="preserve"> population across the Programme area. </w:t>
            </w:r>
          </w:p>
          <w:p w14:paraId="59D10F1B" w14:textId="324C5837" w:rsidR="004C7C2E" w:rsidRPr="004C7C2E" w:rsidRDefault="004C7C2E" w:rsidP="004C7C2E">
            <w:pPr>
              <w:jc w:val="both"/>
              <w:rPr>
                <w:rFonts w:cstheme="minorHAnsi"/>
              </w:rPr>
            </w:pPr>
            <w:r>
              <w:rPr>
                <w:rFonts w:cstheme="minorHAnsi"/>
              </w:rPr>
              <w:t xml:space="preserve"> </w:t>
            </w:r>
          </w:p>
        </w:tc>
      </w:tr>
      <w:tr w:rsidR="00326723" w14:paraId="1B989B25" w14:textId="77777777" w:rsidTr="002B205F">
        <w:trPr>
          <w:trHeight w:val="402"/>
        </w:trPr>
        <w:tc>
          <w:tcPr>
            <w:tcW w:w="2411" w:type="dxa"/>
            <w:shd w:val="clear" w:color="auto" w:fill="auto"/>
          </w:tcPr>
          <w:p w14:paraId="44470D70" w14:textId="1C28365B" w:rsidR="00326723" w:rsidRPr="0045568D" w:rsidRDefault="00D57013" w:rsidP="002B205F">
            <w:pPr>
              <w:spacing w:line="276" w:lineRule="auto"/>
              <w:contextualSpacing/>
              <w:rPr>
                <w:b/>
                <w:bCs/>
                <w:sz w:val="28"/>
                <w:szCs w:val="28"/>
              </w:rPr>
            </w:pPr>
            <w:r>
              <w:rPr>
                <w:b/>
                <w:bCs/>
                <w:color w:val="2F5496" w:themeColor="accent1" w:themeShade="BF"/>
                <w:sz w:val="24"/>
                <w:szCs w:val="24"/>
              </w:rPr>
              <w:t>5.1 Biodiversity, Nature Recovery and Resilience (€15m)</w:t>
            </w:r>
          </w:p>
        </w:tc>
        <w:tc>
          <w:tcPr>
            <w:tcW w:w="7796" w:type="dxa"/>
            <w:shd w:val="clear" w:color="auto" w:fill="auto"/>
          </w:tcPr>
          <w:p w14:paraId="0F2F5CAD" w14:textId="7BB6BCC3" w:rsidR="00326723" w:rsidRDefault="000858BC" w:rsidP="000858BC">
            <w:pPr>
              <w:spacing w:after="120"/>
              <w:jc w:val="both"/>
              <w:rPr>
                <w:rFonts w:cstheme="minorHAnsi"/>
              </w:rPr>
            </w:pPr>
            <w:r w:rsidRPr="000858BC">
              <w:rPr>
                <w:rFonts w:cstheme="minorHAnsi"/>
              </w:rPr>
              <w:t xml:space="preserve">This investment area will build upon </w:t>
            </w:r>
            <w:r w:rsidR="007C0229">
              <w:rPr>
                <w:rFonts w:cstheme="minorHAnsi"/>
              </w:rPr>
              <w:t xml:space="preserve">the </w:t>
            </w:r>
            <w:r w:rsidRPr="000858BC">
              <w:rPr>
                <w:rFonts w:cstheme="minorHAnsi"/>
              </w:rPr>
              <w:t>current INTERREG VA Programme by continuing to promote cross border co-operation and facilitating the recovery of additional protected habitats and priority species. Investment will be directed towards further delivery of conservation actions proven to redress biodiversity loss and preserve these important environmental, social and economic assets.</w:t>
            </w:r>
          </w:p>
          <w:p w14:paraId="74DB4951" w14:textId="371DD98A" w:rsidR="00E506C3" w:rsidRPr="000858BC" w:rsidRDefault="00E506C3" w:rsidP="000858BC">
            <w:pPr>
              <w:spacing w:after="120"/>
              <w:jc w:val="both"/>
              <w:rPr>
                <w:rFonts w:ascii="Arial" w:eastAsiaTheme="minorEastAsia" w:hAnsi="Arial" w:cs="Arial"/>
              </w:rPr>
            </w:pPr>
          </w:p>
        </w:tc>
      </w:tr>
      <w:tr w:rsidR="00326723" w14:paraId="49375423" w14:textId="77777777" w:rsidTr="002B205F">
        <w:trPr>
          <w:trHeight w:val="401"/>
        </w:trPr>
        <w:tc>
          <w:tcPr>
            <w:tcW w:w="2411" w:type="dxa"/>
            <w:shd w:val="clear" w:color="auto" w:fill="auto"/>
          </w:tcPr>
          <w:p w14:paraId="48849183" w14:textId="6ED9939F" w:rsidR="00326723" w:rsidRPr="0045568D" w:rsidRDefault="00D57013" w:rsidP="00D57013">
            <w:pPr>
              <w:spacing w:line="276" w:lineRule="auto"/>
              <w:contextualSpacing/>
              <w:rPr>
                <w:b/>
                <w:bCs/>
                <w:sz w:val="28"/>
                <w:szCs w:val="28"/>
              </w:rPr>
            </w:pPr>
            <w:r>
              <w:rPr>
                <w:b/>
                <w:bCs/>
                <w:color w:val="2F5496" w:themeColor="accent1" w:themeShade="BF"/>
                <w:sz w:val="24"/>
                <w:szCs w:val="24"/>
              </w:rPr>
              <w:lastRenderedPageBreak/>
              <w:t xml:space="preserve">5.2 Marine and Coastal Management </w:t>
            </w:r>
            <w:r w:rsidRPr="002523C0">
              <w:rPr>
                <w:b/>
                <w:bCs/>
                <w:color w:val="2F5496" w:themeColor="accent1" w:themeShade="BF"/>
                <w:sz w:val="24"/>
                <w:szCs w:val="24"/>
              </w:rPr>
              <w:t>(€</w:t>
            </w:r>
            <w:r>
              <w:rPr>
                <w:b/>
                <w:bCs/>
                <w:color w:val="2F5496" w:themeColor="accent1" w:themeShade="BF"/>
                <w:sz w:val="24"/>
                <w:szCs w:val="24"/>
              </w:rPr>
              <w:t>12</w:t>
            </w:r>
            <w:r w:rsidRPr="002523C0">
              <w:rPr>
                <w:b/>
                <w:bCs/>
                <w:color w:val="2F5496" w:themeColor="accent1" w:themeShade="BF"/>
                <w:sz w:val="24"/>
                <w:szCs w:val="24"/>
              </w:rPr>
              <w:t>m)</w:t>
            </w:r>
          </w:p>
        </w:tc>
        <w:tc>
          <w:tcPr>
            <w:tcW w:w="7796" w:type="dxa"/>
            <w:shd w:val="clear" w:color="auto" w:fill="auto"/>
          </w:tcPr>
          <w:p w14:paraId="3B55B9D1" w14:textId="77777777" w:rsidR="00326723" w:rsidRDefault="000858BC" w:rsidP="000858BC">
            <w:pPr>
              <w:jc w:val="both"/>
              <w:rPr>
                <w:rFonts w:cstheme="minorHAnsi"/>
              </w:rPr>
            </w:pPr>
            <w:r w:rsidRPr="000858BC">
              <w:rPr>
                <w:rFonts w:cstheme="minorHAnsi"/>
              </w:rPr>
              <w:t>This investment area will enable a cross border approach to the protection of the marine and coastal environment from natural and anthropological threats; safeguarding this irreplaceable natural asset and resulting in economic, social and cultural benefits to the Programme area.</w:t>
            </w:r>
          </w:p>
          <w:p w14:paraId="20CF3BD6" w14:textId="27030EA6" w:rsidR="00E506C3" w:rsidRPr="000858BC" w:rsidRDefault="00E506C3" w:rsidP="000858BC">
            <w:pPr>
              <w:jc w:val="both"/>
              <w:rPr>
                <w:rFonts w:cstheme="minorHAnsi"/>
              </w:rPr>
            </w:pPr>
          </w:p>
        </w:tc>
      </w:tr>
      <w:tr w:rsidR="00326723" w14:paraId="0C327713" w14:textId="77777777" w:rsidTr="002B205F">
        <w:trPr>
          <w:trHeight w:val="401"/>
        </w:trPr>
        <w:tc>
          <w:tcPr>
            <w:tcW w:w="2411" w:type="dxa"/>
            <w:shd w:val="clear" w:color="auto" w:fill="auto"/>
          </w:tcPr>
          <w:p w14:paraId="6AA3A2EC" w14:textId="3F4F072D" w:rsidR="00326723" w:rsidRPr="0045568D" w:rsidRDefault="00D57013" w:rsidP="002B205F">
            <w:pPr>
              <w:spacing w:line="276" w:lineRule="auto"/>
              <w:contextualSpacing/>
              <w:rPr>
                <w:b/>
                <w:bCs/>
                <w:sz w:val="28"/>
                <w:szCs w:val="28"/>
              </w:rPr>
            </w:pPr>
            <w:r>
              <w:rPr>
                <w:b/>
                <w:bCs/>
                <w:color w:val="2F5496" w:themeColor="accent1" w:themeShade="BF"/>
                <w:sz w:val="24"/>
                <w:szCs w:val="24"/>
              </w:rPr>
              <w:t xml:space="preserve">5.3 Water Quality and Catchment Management </w:t>
            </w:r>
            <w:r w:rsidRPr="002523C0">
              <w:rPr>
                <w:b/>
                <w:bCs/>
                <w:color w:val="2F5496" w:themeColor="accent1" w:themeShade="BF"/>
                <w:sz w:val="24"/>
                <w:szCs w:val="24"/>
              </w:rPr>
              <w:t>(€</w:t>
            </w:r>
            <w:r>
              <w:rPr>
                <w:b/>
                <w:bCs/>
                <w:color w:val="2F5496" w:themeColor="accent1" w:themeShade="BF"/>
                <w:sz w:val="24"/>
                <w:szCs w:val="24"/>
              </w:rPr>
              <w:t>21</w:t>
            </w:r>
            <w:r w:rsidRPr="002523C0">
              <w:rPr>
                <w:b/>
                <w:bCs/>
                <w:color w:val="2F5496" w:themeColor="accent1" w:themeShade="BF"/>
                <w:sz w:val="24"/>
                <w:szCs w:val="24"/>
              </w:rPr>
              <w:t>m)</w:t>
            </w:r>
          </w:p>
        </w:tc>
        <w:tc>
          <w:tcPr>
            <w:tcW w:w="7796" w:type="dxa"/>
            <w:shd w:val="clear" w:color="auto" w:fill="auto"/>
          </w:tcPr>
          <w:p w14:paraId="22AE1A44" w14:textId="7D20D7E5" w:rsidR="00E506C3" w:rsidRPr="00BB1E68" w:rsidRDefault="000858BC" w:rsidP="002B205F">
            <w:pPr>
              <w:jc w:val="both"/>
              <w:rPr>
                <w:rFonts w:cstheme="minorHAnsi"/>
              </w:rPr>
            </w:pPr>
            <w:r w:rsidRPr="000858BC">
              <w:rPr>
                <w:rFonts w:cstheme="minorHAnsi"/>
              </w:rPr>
              <w:t xml:space="preserve">This investment area will </w:t>
            </w:r>
            <w:r w:rsidR="00E506C3">
              <w:rPr>
                <w:rFonts w:cstheme="minorHAnsi"/>
              </w:rPr>
              <w:t>facilitate</w:t>
            </w:r>
            <w:r w:rsidRPr="000858BC">
              <w:rPr>
                <w:rFonts w:cstheme="minorHAnsi"/>
              </w:rPr>
              <w:t xml:space="preserve"> a cross border collaborative approach to the management and improvement of water quality in selected cross border water bodies. In line with the Water Framework Directive, this will be demonstrated by an improved classification over time. The Programme will promote sustainable water management. It will improve freshwater quality in cross border river basins and result in an increased percentage of cross border freshwater bodies in cross border river basins with good or high quality. </w:t>
            </w:r>
          </w:p>
        </w:tc>
      </w:tr>
      <w:tr w:rsidR="00326723" w14:paraId="3E446383" w14:textId="77777777" w:rsidTr="002B205F">
        <w:trPr>
          <w:trHeight w:val="401"/>
        </w:trPr>
        <w:tc>
          <w:tcPr>
            <w:tcW w:w="2411" w:type="dxa"/>
            <w:shd w:val="clear" w:color="auto" w:fill="auto"/>
          </w:tcPr>
          <w:p w14:paraId="070EDB9D" w14:textId="3C038BFE" w:rsidR="00326723" w:rsidRPr="0045568D" w:rsidRDefault="00D57013" w:rsidP="002B205F">
            <w:pPr>
              <w:spacing w:line="276" w:lineRule="auto"/>
              <w:contextualSpacing/>
              <w:rPr>
                <w:b/>
                <w:bCs/>
                <w:sz w:val="28"/>
                <w:szCs w:val="28"/>
              </w:rPr>
            </w:pPr>
            <w:r>
              <w:rPr>
                <w:b/>
                <w:bCs/>
                <w:color w:val="2F5496" w:themeColor="accent1" w:themeShade="BF"/>
                <w:sz w:val="24"/>
                <w:szCs w:val="24"/>
              </w:rPr>
              <w:t xml:space="preserve">5.4 Water Quality Improvement Programme </w:t>
            </w:r>
            <w:r w:rsidRPr="002523C0">
              <w:rPr>
                <w:b/>
                <w:bCs/>
                <w:color w:val="2F5496" w:themeColor="accent1" w:themeShade="BF"/>
                <w:sz w:val="24"/>
                <w:szCs w:val="24"/>
              </w:rPr>
              <w:t>(€</w:t>
            </w:r>
            <w:r>
              <w:rPr>
                <w:b/>
                <w:bCs/>
                <w:color w:val="2F5496" w:themeColor="accent1" w:themeShade="BF"/>
                <w:sz w:val="24"/>
                <w:szCs w:val="24"/>
              </w:rPr>
              <w:t>32</w:t>
            </w:r>
            <w:r w:rsidRPr="002523C0">
              <w:rPr>
                <w:b/>
                <w:bCs/>
                <w:color w:val="2F5496" w:themeColor="accent1" w:themeShade="BF"/>
                <w:sz w:val="24"/>
                <w:szCs w:val="24"/>
              </w:rPr>
              <w:t>m)</w:t>
            </w:r>
          </w:p>
        </w:tc>
        <w:tc>
          <w:tcPr>
            <w:tcW w:w="7796" w:type="dxa"/>
            <w:shd w:val="clear" w:color="auto" w:fill="auto"/>
          </w:tcPr>
          <w:p w14:paraId="67CAB0F4" w14:textId="77777777" w:rsidR="00326723" w:rsidRDefault="000858BC" w:rsidP="004C7C2E">
            <w:pPr>
              <w:jc w:val="both"/>
              <w:rPr>
                <w:rFonts w:cstheme="minorHAnsi"/>
              </w:rPr>
            </w:pPr>
            <w:r w:rsidRPr="004C7C2E">
              <w:rPr>
                <w:rFonts w:cstheme="minorHAnsi"/>
              </w:rPr>
              <w:t xml:space="preserve">This investment area will result in an improvement in the water quality of three specific transitional water bodies though cross border collaboration: Lough Erne, Lough Melvin and Donegal Bay. </w:t>
            </w:r>
            <w:bookmarkStart w:id="0" w:name="_Hlk63694376"/>
            <w:r w:rsidRPr="004C7C2E">
              <w:rPr>
                <w:rFonts w:cstheme="minorHAnsi"/>
              </w:rPr>
              <w:t>In addition, raw drinking water quality will be improved through the reduction of pollutants, including those of an agricultural nature.</w:t>
            </w:r>
            <w:bookmarkEnd w:id="0"/>
          </w:p>
          <w:p w14:paraId="600BC2FE" w14:textId="70076C17" w:rsidR="00E506C3" w:rsidRPr="000858BC" w:rsidRDefault="00E506C3" w:rsidP="004C7C2E">
            <w:pPr>
              <w:jc w:val="both"/>
              <w:rPr>
                <w:rFonts w:ascii="Arial" w:hAnsi="Arial" w:cs="Arial"/>
              </w:rPr>
            </w:pPr>
          </w:p>
        </w:tc>
      </w:tr>
      <w:tr w:rsidR="00326723" w14:paraId="6DF23033" w14:textId="77777777" w:rsidTr="002B205F">
        <w:trPr>
          <w:trHeight w:val="401"/>
        </w:trPr>
        <w:tc>
          <w:tcPr>
            <w:tcW w:w="2411" w:type="dxa"/>
            <w:shd w:val="clear" w:color="auto" w:fill="auto"/>
          </w:tcPr>
          <w:p w14:paraId="6C7FA32E" w14:textId="55D31879" w:rsidR="00326723" w:rsidRPr="0045568D" w:rsidRDefault="00D57013" w:rsidP="002B205F">
            <w:pPr>
              <w:spacing w:line="276" w:lineRule="auto"/>
              <w:contextualSpacing/>
              <w:rPr>
                <w:b/>
                <w:bCs/>
                <w:sz w:val="28"/>
                <w:szCs w:val="28"/>
              </w:rPr>
            </w:pPr>
            <w:r>
              <w:rPr>
                <w:b/>
                <w:bCs/>
                <w:color w:val="2F5496" w:themeColor="accent1" w:themeShade="BF"/>
                <w:sz w:val="24"/>
                <w:szCs w:val="24"/>
              </w:rPr>
              <w:t xml:space="preserve">5.5 Geothermal Energy Demonstration Programme </w:t>
            </w:r>
            <w:r w:rsidRPr="002523C0">
              <w:rPr>
                <w:b/>
                <w:bCs/>
                <w:color w:val="2F5496" w:themeColor="accent1" w:themeShade="BF"/>
                <w:sz w:val="24"/>
                <w:szCs w:val="24"/>
              </w:rPr>
              <w:t>(€</w:t>
            </w:r>
            <w:r>
              <w:rPr>
                <w:b/>
                <w:bCs/>
                <w:color w:val="2F5496" w:themeColor="accent1" w:themeShade="BF"/>
                <w:sz w:val="24"/>
                <w:szCs w:val="24"/>
              </w:rPr>
              <w:t>20</w:t>
            </w:r>
            <w:r w:rsidRPr="002523C0">
              <w:rPr>
                <w:b/>
                <w:bCs/>
                <w:color w:val="2F5496" w:themeColor="accent1" w:themeShade="BF"/>
                <w:sz w:val="24"/>
                <w:szCs w:val="24"/>
              </w:rPr>
              <w:t>m)</w:t>
            </w:r>
          </w:p>
        </w:tc>
        <w:tc>
          <w:tcPr>
            <w:tcW w:w="7796" w:type="dxa"/>
            <w:shd w:val="clear" w:color="auto" w:fill="auto"/>
          </w:tcPr>
          <w:p w14:paraId="47584A86" w14:textId="2C747B61" w:rsidR="00326723" w:rsidRDefault="000858BC" w:rsidP="000858BC">
            <w:pPr>
              <w:jc w:val="both"/>
              <w:rPr>
                <w:rFonts w:cstheme="minorHAnsi"/>
              </w:rPr>
            </w:pPr>
            <w:r w:rsidRPr="000858BC">
              <w:rPr>
                <w:rFonts w:cstheme="minorHAnsi"/>
              </w:rPr>
              <w:t>This investment area will build the knowledge, skills and capacity required to develop a policy framework and encourage investment in the geothermal technology sector.  Associated cross border collaboration to achieve the replacement of fossil fuels by indigenous renewable energy in the heat sector will result in a reduced reliance on fossil fuels and enhanced energy security. It will deliver economic, social and environmental benefits across the Programme area.</w:t>
            </w:r>
          </w:p>
          <w:p w14:paraId="77A41CCF" w14:textId="65F3718E" w:rsidR="00E506C3" w:rsidRPr="000858BC" w:rsidRDefault="00E506C3" w:rsidP="000858BC">
            <w:pPr>
              <w:jc w:val="both"/>
              <w:rPr>
                <w:rFonts w:ascii="Arial" w:eastAsia="Arial" w:hAnsi="Arial" w:cs="Arial"/>
              </w:rPr>
            </w:pPr>
          </w:p>
        </w:tc>
      </w:tr>
      <w:tr w:rsidR="00326723" w14:paraId="3229B731" w14:textId="77777777" w:rsidTr="002B205F">
        <w:trPr>
          <w:trHeight w:val="401"/>
        </w:trPr>
        <w:tc>
          <w:tcPr>
            <w:tcW w:w="2411" w:type="dxa"/>
            <w:shd w:val="clear" w:color="auto" w:fill="auto"/>
          </w:tcPr>
          <w:p w14:paraId="78C54111" w14:textId="301847C1" w:rsidR="00326723" w:rsidRPr="0045568D" w:rsidRDefault="00D57013" w:rsidP="002B205F">
            <w:pPr>
              <w:spacing w:line="276" w:lineRule="auto"/>
              <w:contextualSpacing/>
              <w:rPr>
                <w:b/>
                <w:bCs/>
                <w:sz w:val="28"/>
                <w:szCs w:val="28"/>
              </w:rPr>
            </w:pPr>
            <w:r>
              <w:rPr>
                <w:b/>
                <w:bCs/>
                <w:color w:val="2F5496" w:themeColor="accent1" w:themeShade="BF"/>
                <w:sz w:val="24"/>
                <w:szCs w:val="24"/>
              </w:rPr>
              <w:t xml:space="preserve">5.6 Enhanced Sustainable Travel Connectivity </w:t>
            </w:r>
            <w:r w:rsidRPr="002523C0">
              <w:rPr>
                <w:b/>
                <w:bCs/>
                <w:color w:val="2F5496" w:themeColor="accent1" w:themeShade="BF"/>
                <w:sz w:val="24"/>
                <w:szCs w:val="24"/>
              </w:rPr>
              <w:t>(€</w:t>
            </w:r>
            <w:r>
              <w:rPr>
                <w:b/>
                <w:bCs/>
                <w:color w:val="2F5496" w:themeColor="accent1" w:themeShade="BF"/>
                <w:sz w:val="24"/>
                <w:szCs w:val="24"/>
              </w:rPr>
              <w:t>165</w:t>
            </w:r>
            <w:r w:rsidRPr="002523C0">
              <w:rPr>
                <w:b/>
                <w:bCs/>
                <w:color w:val="2F5496" w:themeColor="accent1" w:themeShade="BF"/>
                <w:sz w:val="24"/>
                <w:szCs w:val="24"/>
              </w:rPr>
              <w:t>m)</w:t>
            </w:r>
          </w:p>
        </w:tc>
        <w:tc>
          <w:tcPr>
            <w:tcW w:w="7796" w:type="dxa"/>
            <w:shd w:val="clear" w:color="auto" w:fill="auto"/>
          </w:tcPr>
          <w:p w14:paraId="41CF9674" w14:textId="4B90E184" w:rsidR="00326723" w:rsidRDefault="000858BC" w:rsidP="000858BC">
            <w:pPr>
              <w:jc w:val="both"/>
              <w:rPr>
                <w:rFonts w:cstheme="minorHAnsi"/>
              </w:rPr>
            </w:pPr>
            <w:r w:rsidRPr="000858BC">
              <w:rPr>
                <w:rFonts w:cstheme="minorHAnsi"/>
              </w:rPr>
              <w:t xml:space="preserve">This investment area will increase connectivity in the form of sustainable public transport. It will involve significant investment in sustainable rail stock. The improvement of the rail service linking the two capital cities and the smaller adjacent urban centres of Portadown, Newry, Dundalk and Drogheda can exploit this dynamic to its full potential, providing spin-off agglomeration and wider economic and environmental benefits, including contributing to the long-term development of a </w:t>
            </w:r>
            <w:r w:rsidR="00E506C3" w:rsidRPr="000858BC">
              <w:rPr>
                <w:rFonts w:cstheme="minorHAnsi"/>
              </w:rPr>
              <w:t>zero-emissions rail</w:t>
            </w:r>
            <w:r w:rsidRPr="000858BC">
              <w:rPr>
                <w:rFonts w:cstheme="minorHAnsi"/>
              </w:rPr>
              <w:t xml:space="preserve"> network. </w:t>
            </w:r>
          </w:p>
          <w:p w14:paraId="425E2E79" w14:textId="212FCCC6" w:rsidR="00E506C3" w:rsidRPr="000858BC" w:rsidRDefault="00E506C3" w:rsidP="000858BC">
            <w:pPr>
              <w:jc w:val="both"/>
              <w:rPr>
                <w:rFonts w:cstheme="minorHAnsi"/>
              </w:rPr>
            </w:pPr>
          </w:p>
        </w:tc>
      </w:tr>
    </w:tbl>
    <w:p w14:paraId="28A5653D" w14:textId="6C29A5B5" w:rsidR="00326723" w:rsidRDefault="00326723" w:rsidP="005029C9">
      <w:pPr>
        <w:spacing w:line="276" w:lineRule="auto"/>
        <w:rPr>
          <w:b/>
          <w:bCs/>
          <w:sz w:val="28"/>
          <w:szCs w:val="28"/>
        </w:rPr>
      </w:pPr>
    </w:p>
    <w:p w14:paraId="0750FBF2" w14:textId="7D1DD445" w:rsidR="00C65648" w:rsidRPr="00326723" w:rsidRDefault="0011631E" w:rsidP="00326723">
      <w:pPr>
        <w:rPr>
          <w:b/>
          <w:bCs/>
          <w:sz w:val="28"/>
          <w:szCs w:val="28"/>
        </w:rPr>
      </w:pPr>
      <w:r w:rsidRPr="00AC4839">
        <w:rPr>
          <w:b/>
          <w:bCs/>
          <w:sz w:val="28"/>
          <w:szCs w:val="28"/>
        </w:rPr>
        <w:t xml:space="preserve">Other Opportunities for </w:t>
      </w:r>
      <w:r w:rsidR="00326723">
        <w:rPr>
          <w:b/>
          <w:bCs/>
          <w:sz w:val="28"/>
          <w:szCs w:val="28"/>
        </w:rPr>
        <w:t>the Environment Sector</w:t>
      </w:r>
      <w:r w:rsidRPr="00AC4839">
        <w:rPr>
          <w:b/>
          <w:bCs/>
          <w:sz w:val="28"/>
          <w:szCs w:val="28"/>
        </w:rPr>
        <w:t xml:space="preserve"> to Engage in PEACE PLUS</w:t>
      </w:r>
    </w:p>
    <w:tbl>
      <w:tblPr>
        <w:tblStyle w:val="TableGrid"/>
        <w:tblW w:w="10207" w:type="dxa"/>
        <w:tblInd w:w="-431" w:type="dxa"/>
        <w:tblLook w:val="04A0" w:firstRow="1" w:lastRow="0" w:firstColumn="1" w:lastColumn="0" w:noHBand="0" w:noVBand="1"/>
      </w:tblPr>
      <w:tblGrid>
        <w:gridCol w:w="2411"/>
        <w:gridCol w:w="7796"/>
      </w:tblGrid>
      <w:tr w:rsidR="00AC4839" w14:paraId="26024447" w14:textId="77777777" w:rsidTr="00AC4839">
        <w:tc>
          <w:tcPr>
            <w:tcW w:w="10207" w:type="dxa"/>
            <w:gridSpan w:val="2"/>
            <w:shd w:val="clear" w:color="auto" w:fill="F2F2F2" w:themeFill="background1" w:themeFillShade="F2"/>
          </w:tcPr>
          <w:p w14:paraId="336432EC" w14:textId="7C1E4E82" w:rsidR="00AC4839" w:rsidRPr="00180283" w:rsidRDefault="00180283" w:rsidP="00E506C3">
            <w:pPr>
              <w:spacing w:line="276" w:lineRule="auto"/>
              <w:rPr>
                <w:sz w:val="28"/>
                <w:szCs w:val="28"/>
              </w:rPr>
            </w:pPr>
            <w:r w:rsidRPr="00AC4839">
              <w:rPr>
                <w:b/>
                <w:bCs/>
                <w:sz w:val="28"/>
                <w:szCs w:val="28"/>
              </w:rPr>
              <w:t>Theme 1: Building Peaceful and Thriving Communities</w:t>
            </w:r>
          </w:p>
        </w:tc>
      </w:tr>
      <w:tr w:rsidR="00180283" w14:paraId="225E81C2" w14:textId="77777777" w:rsidTr="00BB1E68">
        <w:trPr>
          <w:trHeight w:val="402"/>
        </w:trPr>
        <w:tc>
          <w:tcPr>
            <w:tcW w:w="2411" w:type="dxa"/>
            <w:shd w:val="clear" w:color="auto" w:fill="auto"/>
          </w:tcPr>
          <w:p w14:paraId="323E2346" w14:textId="5730537E" w:rsidR="00180283" w:rsidRPr="0045568D" w:rsidRDefault="00180283" w:rsidP="00180283">
            <w:pPr>
              <w:spacing w:line="276" w:lineRule="auto"/>
              <w:contextualSpacing/>
              <w:rPr>
                <w:b/>
                <w:bCs/>
                <w:sz w:val="28"/>
                <w:szCs w:val="28"/>
              </w:rPr>
            </w:pPr>
            <w:r>
              <w:rPr>
                <w:b/>
                <w:bCs/>
                <w:color w:val="2F5496" w:themeColor="accent1" w:themeShade="BF"/>
                <w:sz w:val="24"/>
                <w:szCs w:val="24"/>
              </w:rPr>
              <w:t xml:space="preserve">1.1 </w:t>
            </w:r>
            <w:r w:rsidRPr="002523C0">
              <w:rPr>
                <w:b/>
                <w:bCs/>
                <w:color w:val="2F5496" w:themeColor="accent1" w:themeShade="BF"/>
                <w:sz w:val="24"/>
                <w:szCs w:val="24"/>
              </w:rPr>
              <w:t>Co-designed Local Community P</w:t>
            </w:r>
            <w:r w:rsidR="005029C9">
              <w:rPr>
                <w:b/>
                <w:bCs/>
                <w:color w:val="2F5496" w:themeColor="accent1" w:themeShade="BF"/>
                <w:sz w:val="24"/>
                <w:szCs w:val="24"/>
              </w:rPr>
              <w:t>EACE</w:t>
            </w:r>
            <w:r w:rsidRPr="002523C0">
              <w:rPr>
                <w:b/>
                <w:bCs/>
                <w:color w:val="2F5496" w:themeColor="accent1" w:themeShade="BF"/>
                <w:sz w:val="24"/>
                <w:szCs w:val="24"/>
              </w:rPr>
              <w:t xml:space="preserve"> Action Plans (€90m)</w:t>
            </w:r>
          </w:p>
        </w:tc>
        <w:tc>
          <w:tcPr>
            <w:tcW w:w="7796" w:type="dxa"/>
            <w:shd w:val="clear" w:color="auto" w:fill="auto"/>
          </w:tcPr>
          <w:p w14:paraId="4BBB8C0F" w14:textId="77777777" w:rsidR="005029C9" w:rsidRDefault="00180283" w:rsidP="00542F12">
            <w:pPr>
              <w:spacing w:line="276" w:lineRule="auto"/>
              <w:jc w:val="both"/>
              <w:rPr>
                <w:rFonts w:cstheme="minorHAnsi"/>
              </w:rPr>
            </w:pPr>
            <w:r>
              <w:rPr>
                <w:rFonts w:cstheme="minorHAnsi"/>
              </w:rPr>
              <w:t>This investment area will</w:t>
            </w:r>
            <w:r w:rsidRPr="005424B9">
              <w:rPr>
                <w:rFonts w:cstheme="minorHAnsi"/>
              </w:rPr>
              <w:t xml:space="preserve"> </w:t>
            </w:r>
            <w:r>
              <w:rPr>
                <w:rFonts w:cstheme="minorHAnsi"/>
              </w:rPr>
              <w:t xml:space="preserve">see the creation of Local PEACE PLUS Partnerships across all parts of the Programme area. This structure will </w:t>
            </w:r>
            <w:r w:rsidRPr="005424B9">
              <w:rPr>
                <w:rFonts w:cstheme="minorHAnsi"/>
              </w:rPr>
              <w:t xml:space="preserve">enable and empower council led local community partnerships, to </w:t>
            </w:r>
            <w:r w:rsidR="005029C9">
              <w:rPr>
                <w:rFonts w:cstheme="minorHAnsi"/>
              </w:rPr>
              <w:t xml:space="preserve">co-design Local Community PEACE Action Plans and thus </w:t>
            </w:r>
            <w:r w:rsidRPr="005424B9">
              <w:rPr>
                <w:rFonts w:cstheme="minorHAnsi"/>
              </w:rPr>
              <w:t>sel</w:t>
            </w:r>
            <w:r>
              <w:rPr>
                <w:rFonts w:cstheme="minorHAnsi"/>
              </w:rPr>
              <w:t>f-determine</w:t>
            </w:r>
            <w:r w:rsidRPr="005424B9">
              <w:rPr>
                <w:rFonts w:cstheme="minorHAnsi"/>
              </w:rPr>
              <w:t xml:space="preserve"> and deliver priority projects on a cross community basis.</w:t>
            </w:r>
            <w:r>
              <w:rPr>
                <w:rFonts w:cstheme="minorHAnsi"/>
              </w:rPr>
              <w:t xml:space="preserve"> It will provide opportunities to develop local projects</w:t>
            </w:r>
            <w:r w:rsidR="005029C9">
              <w:rPr>
                <w:rFonts w:cstheme="minorHAnsi"/>
              </w:rPr>
              <w:t xml:space="preserve"> </w:t>
            </w:r>
            <w:r w:rsidR="00AC0224">
              <w:rPr>
                <w:rFonts w:cstheme="minorHAnsi"/>
              </w:rPr>
              <w:t xml:space="preserve">to be delivered by local organisations, including those with an environmental focus. </w:t>
            </w:r>
          </w:p>
          <w:p w14:paraId="79A0A172" w14:textId="53CBC7C4" w:rsidR="00E506C3" w:rsidRPr="00180283" w:rsidRDefault="00E506C3" w:rsidP="00542F12">
            <w:pPr>
              <w:spacing w:line="276" w:lineRule="auto"/>
              <w:jc w:val="both"/>
              <w:rPr>
                <w:rFonts w:cstheme="minorHAnsi"/>
              </w:rPr>
            </w:pPr>
          </w:p>
        </w:tc>
      </w:tr>
      <w:tr w:rsidR="005029C9" w14:paraId="34E1632A" w14:textId="77777777" w:rsidTr="00BB1E68">
        <w:trPr>
          <w:trHeight w:val="401"/>
        </w:trPr>
        <w:tc>
          <w:tcPr>
            <w:tcW w:w="2411" w:type="dxa"/>
            <w:shd w:val="clear" w:color="auto" w:fill="auto"/>
          </w:tcPr>
          <w:p w14:paraId="76CD8974" w14:textId="36B31B6D" w:rsidR="005029C9" w:rsidRPr="0045568D" w:rsidRDefault="005029C9" w:rsidP="005029C9">
            <w:pPr>
              <w:spacing w:line="276" w:lineRule="auto"/>
              <w:contextualSpacing/>
              <w:rPr>
                <w:b/>
                <w:bCs/>
                <w:sz w:val="28"/>
                <w:szCs w:val="28"/>
              </w:rPr>
            </w:pPr>
            <w:r>
              <w:rPr>
                <w:b/>
                <w:bCs/>
                <w:color w:val="2F5496" w:themeColor="accent1" w:themeShade="BF"/>
                <w:sz w:val="24"/>
                <w:szCs w:val="24"/>
              </w:rPr>
              <w:t xml:space="preserve">1.2 </w:t>
            </w:r>
            <w:r w:rsidRPr="002523C0">
              <w:rPr>
                <w:b/>
                <w:bCs/>
                <w:color w:val="2F5496" w:themeColor="accent1" w:themeShade="BF"/>
                <w:sz w:val="24"/>
                <w:szCs w:val="24"/>
              </w:rPr>
              <w:t>Empowering Communities (€</w:t>
            </w:r>
            <w:r>
              <w:rPr>
                <w:b/>
                <w:bCs/>
                <w:color w:val="2F5496" w:themeColor="accent1" w:themeShade="BF"/>
                <w:sz w:val="24"/>
                <w:szCs w:val="24"/>
              </w:rPr>
              <w:t>3</w:t>
            </w:r>
            <w:r w:rsidRPr="002523C0">
              <w:rPr>
                <w:b/>
                <w:bCs/>
                <w:color w:val="2F5496" w:themeColor="accent1" w:themeShade="BF"/>
                <w:sz w:val="24"/>
                <w:szCs w:val="24"/>
              </w:rPr>
              <w:t>0m)</w:t>
            </w:r>
          </w:p>
        </w:tc>
        <w:tc>
          <w:tcPr>
            <w:tcW w:w="7796" w:type="dxa"/>
            <w:shd w:val="clear" w:color="auto" w:fill="auto"/>
          </w:tcPr>
          <w:p w14:paraId="0F2E9AD1" w14:textId="77777777" w:rsidR="005029C9" w:rsidRDefault="005029C9" w:rsidP="005029C9">
            <w:pPr>
              <w:jc w:val="both"/>
              <w:rPr>
                <w:rFonts w:cstheme="minorHAnsi"/>
              </w:rPr>
            </w:pPr>
            <w:r w:rsidRPr="00973CA6">
              <w:rPr>
                <w:rFonts w:cstheme="minorHAnsi"/>
              </w:rPr>
              <w:t>This investment area will support the delivery of people-to-people projects</w:t>
            </w:r>
            <w:r w:rsidR="00BB1E68">
              <w:rPr>
                <w:rFonts w:cstheme="minorHAnsi"/>
              </w:rPr>
              <w:t xml:space="preserve"> </w:t>
            </w:r>
            <w:r w:rsidR="00AC0224">
              <w:rPr>
                <w:rFonts w:cstheme="minorHAnsi"/>
              </w:rPr>
              <w:t xml:space="preserve">across all </w:t>
            </w:r>
            <w:r w:rsidR="00BB1E68">
              <w:rPr>
                <w:rFonts w:cstheme="minorHAnsi"/>
              </w:rPr>
              <w:t>communities</w:t>
            </w:r>
            <w:r w:rsidRPr="00973CA6">
              <w:rPr>
                <w:rFonts w:cstheme="minorHAnsi"/>
              </w:rPr>
              <w:t xml:space="preserve"> by local Community &amp; Voluntary Sector organisations. Through the provision of a small grants programme, it will enable participation by smaller organisations who can often be best placed to </w:t>
            </w:r>
            <w:r w:rsidR="00E506C3">
              <w:rPr>
                <w:rFonts w:cstheme="minorHAnsi"/>
              </w:rPr>
              <w:t>a</w:t>
            </w:r>
            <w:r w:rsidRPr="00973CA6">
              <w:rPr>
                <w:rFonts w:cstheme="minorHAnsi"/>
              </w:rPr>
              <w:t xml:space="preserve">ffect real change and embed peace at local community level. Projects can use any medium which will result in improved </w:t>
            </w:r>
            <w:r w:rsidRPr="00973CA6">
              <w:rPr>
                <w:rFonts w:cstheme="minorHAnsi"/>
              </w:rPr>
              <w:lastRenderedPageBreak/>
              <w:t>cross community relations</w:t>
            </w:r>
            <w:r w:rsidR="00AC0224">
              <w:rPr>
                <w:rFonts w:cstheme="minorHAnsi"/>
              </w:rPr>
              <w:t>, including environment focused projects</w:t>
            </w:r>
            <w:r w:rsidRPr="00973CA6">
              <w:rPr>
                <w:rFonts w:cstheme="minorHAnsi"/>
              </w:rPr>
              <w:t>. In this way, the Programme will contribute to the creation of strengthened and more cohesive local communities</w:t>
            </w:r>
            <w:r w:rsidR="00BB1E68">
              <w:rPr>
                <w:rFonts w:cstheme="minorHAnsi"/>
              </w:rPr>
              <w:t xml:space="preserve"> and provide opportunit</w:t>
            </w:r>
            <w:r w:rsidR="00E506C3">
              <w:rPr>
                <w:rFonts w:cstheme="minorHAnsi"/>
              </w:rPr>
              <w:t>ies</w:t>
            </w:r>
            <w:r w:rsidR="00BB1E68">
              <w:rPr>
                <w:rFonts w:cstheme="minorHAnsi"/>
              </w:rPr>
              <w:t xml:space="preserve"> for engagement by </w:t>
            </w:r>
            <w:r w:rsidR="00AC0224">
              <w:rPr>
                <w:rFonts w:cstheme="minorHAnsi"/>
              </w:rPr>
              <w:t xml:space="preserve">environmental organisations. </w:t>
            </w:r>
            <w:r w:rsidRPr="00973CA6">
              <w:rPr>
                <w:rFonts w:cstheme="minorHAnsi"/>
              </w:rPr>
              <w:t xml:space="preserve">  </w:t>
            </w:r>
          </w:p>
          <w:p w14:paraId="0D73F742" w14:textId="74F8FDD4" w:rsidR="00E506C3" w:rsidRPr="00BB1E68" w:rsidRDefault="00E506C3" w:rsidP="005029C9">
            <w:pPr>
              <w:jc w:val="both"/>
              <w:rPr>
                <w:rFonts w:cstheme="minorHAnsi"/>
              </w:rPr>
            </w:pPr>
          </w:p>
        </w:tc>
      </w:tr>
      <w:tr w:rsidR="005029C9" w14:paraId="2310E6B0" w14:textId="77777777" w:rsidTr="00BB1E68">
        <w:trPr>
          <w:trHeight w:val="401"/>
        </w:trPr>
        <w:tc>
          <w:tcPr>
            <w:tcW w:w="2411" w:type="dxa"/>
            <w:shd w:val="clear" w:color="auto" w:fill="auto"/>
          </w:tcPr>
          <w:p w14:paraId="74ECC0C8" w14:textId="580343A2" w:rsidR="005029C9" w:rsidRPr="0045568D" w:rsidRDefault="005029C9" w:rsidP="005029C9">
            <w:pPr>
              <w:spacing w:line="276" w:lineRule="auto"/>
              <w:contextualSpacing/>
              <w:rPr>
                <w:b/>
                <w:bCs/>
                <w:sz w:val="28"/>
                <w:szCs w:val="28"/>
              </w:rPr>
            </w:pPr>
            <w:r>
              <w:rPr>
                <w:b/>
                <w:bCs/>
                <w:color w:val="2F5496" w:themeColor="accent1" w:themeShade="BF"/>
                <w:sz w:val="24"/>
                <w:szCs w:val="24"/>
              </w:rPr>
              <w:lastRenderedPageBreak/>
              <w:t xml:space="preserve">1.4 </w:t>
            </w:r>
            <w:r w:rsidR="00EF29DC">
              <w:rPr>
                <w:b/>
                <w:bCs/>
                <w:color w:val="2F5496" w:themeColor="accent1" w:themeShade="BF"/>
                <w:sz w:val="24"/>
                <w:szCs w:val="24"/>
              </w:rPr>
              <w:t>Re-Imaging Communities</w:t>
            </w:r>
            <w:r>
              <w:rPr>
                <w:b/>
                <w:bCs/>
                <w:color w:val="2F5496" w:themeColor="accent1" w:themeShade="BF"/>
                <w:sz w:val="24"/>
                <w:szCs w:val="24"/>
              </w:rPr>
              <w:t xml:space="preserve"> </w:t>
            </w:r>
            <w:r w:rsidRPr="002523C0">
              <w:rPr>
                <w:b/>
                <w:bCs/>
                <w:color w:val="2F5496" w:themeColor="accent1" w:themeShade="BF"/>
                <w:sz w:val="24"/>
                <w:szCs w:val="24"/>
              </w:rPr>
              <w:t>(€</w:t>
            </w:r>
            <w:r>
              <w:rPr>
                <w:b/>
                <w:bCs/>
                <w:color w:val="2F5496" w:themeColor="accent1" w:themeShade="BF"/>
                <w:sz w:val="24"/>
                <w:szCs w:val="24"/>
              </w:rPr>
              <w:t>6</w:t>
            </w:r>
            <w:r w:rsidRPr="002523C0">
              <w:rPr>
                <w:b/>
                <w:bCs/>
                <w:color w:val="2F5496" w:themeColor="accent1" w:themeShade="BF"/>
                <w:sz w:val="24"/>
                <w:szCs w:val="24"/>
              </w:rPr>
              <w:t>0m)</w:t>
            </w:r>
          </w:p>
        </w:tc>
        <w:tc>
          <w:tcPr>
            <w:tcW w:w="7796" w:type="dxa"/>
            <w:shd w:val="clear" w:color="auto" w:fill="auto"/>
          </w:tcPr>
          <w:p w14:paraId="2C145516" w14:textId="34B2FAC5" w:rsidR="00E506C3" w:rsidRPr="00BB1E68" w:rsidRDefault="005029C9" w:rsidP="00BB1E68">
            <w:pPr>
              <w:jc w:val="both"/>
              <w:rPr>
                <w:rFonts w:cstheme="minorHAnsi"/>
              </w:rPr>
            </w:pPr>
            <w:r w:rsidRPr="009225F9">
              <w:rPr>
                <w:rFonts w:cstheme="minorHAnsi"/>
              </w:rPr>
              <w:t xml:space="preserve">This </w:t>
            </w:r>
            <w:r>
              <w:rPr>
                <w:rFonts w:cstheme="minorHAnsi"/>
              </w:rPr>
              <w:t>investment area</w:t>
            </w:r>
            <w:r w:rsidRPr="009225F9">
              <w:rPr>
                <w:rFonts w:cstheme="minorHAnsi"/>
              </w:rPr>
              <w:t xml:space="preserve"> will offer the potential to develop new and transform existing spaces into shared environments for </w:t>
            </w:r>
            <w:r>
              <w:rPr>
                <w:rFonts w:cstheme="minorHAnsi"/>
              </w:rPr>
              <w:t xml:space="preserve">use by all communities. It will provide </w:t>
            </w:r>
            <w:r w:rsidR="008F5F90">
              <w:rPr>
                <w:rFonts w:cstheme="minorHAnsi"/>
              </w:rPr>
              <w:t xml:space="preserve">Statutory, </w:t>
            </w:r>
            <w:r>
              <w:rPr>
                <w:rFonts w:cstheme="minorHAnsi"/>
              </w:rPr>
              <w:t>Community &amp; Voluntary Sector organisations with the opportunity to develop and manage innovative spaces</w:t>
            </w:r>
            <w:r w:rsidR="00BB1E68">
              <w:rPr>
                <w:rFonts w:cstheme="minorHAnsi"/>
              </w:rPr>
              <w:t>,</w:t>
            </w:r>
            <w:r w:rsidR="00AC0224">
              <w:rPr>
                <w:rFonts w:cstheme="minorHAnsi"/>
              </w:rPr>
              <w:t xml:space="preserve"> spanning </w:t>
            </w:r>
            <w:r>
              <w:rPr>
                <w:rFonts w:cstheme="minorHAnsi"/>
              </w:rPr>
              <w:t>a range of thematic areas including: children and young people; health and wellbeing; social enterprise</w:t>
            </w:r>
            <w:r w:rsidR="00AC0224">
              <w:rPr>
                <w:rFonts w:cstheme="minorHAnsi"/>
              </w:rPr>
              <w:t xml:space="preserve"> and innovation</w:t>
            </w:r>
            <w:r w:rsidR="00E506C3">
              <w:rPr>
                <w:rFonts w:cstheme="minorHAnsi"/>
              </w:rPr>
              <w:t xml:space="preserve">. From an environmental perspective, these spaces </w:t>
            </w:r>
            <w:r w:rsidR="00AC0224">
              <w:rPr>
                <w:rFonts w:cstheme="minorHAnsi"/>
              </w:rPr>
              <w:t>w</w:t>
            </w:r>
            <w:r w:rsidR="00E506C3">
              <w:rPr>
                <w:rFonts w:cstheme="minorHAnsi"/>
              </w:rPr>
              <w:t xml:space="preserve">ill be constructed and operated with an emphasis upon sustainability. </w:t>
            </w:r>
          </w:p>
        </w:tc>
      </w:tr>
      <w:tr w:rsidR="005029C9" w14:paraId="55D55CBC" w14:textId="77777777" w:rsidTr="00AC4839">
        <w:tc>
          <w:tcPr>
            <w:tcW w:w="10207" w:type="dxa"/>
            <w:gridSpan w:val="2"/>
            <w:shd w:val="clear" w:color="auto" w:fill="F2F2F2" w:themeFill="background1" w:themeFillShade="F2"/>
          </w:tcPr>
          <w:p w14:paraId="535A9A11" w14:textId="799E20BC" w:rsidR="005029C9" w:rsidRPr="0045568D" w:rsidRDefault="005029C9" w:rsidP="005029C9">
            <w:pPr>
              <w:spacing w:line="276" w:lineRule="auto"/>
              <w:contextualSpacing/>
              <w:jc w:val="both"/>
              <w:rPr>
                <w:b/>
                <w:bCs/>
                <w:sz w:val="28"/>
                <w:szCs w:val="28"/>
              </w:rPr>
            </w:pPr>
            <w:r w:rsidRPr="0045568D">
              <w:rPr>
                <w:b/>
                <w:bCs/>
                <w:sz w:val="28"/>
                <w:szCs w:val="28"/>
              </w:rPr>
              <w:t xml:space="preserve">Theme </w:t>
            </w:r>
            <w:r>
              <w:rPr>
                <w:b/>
                <w:bCs/>
                <w:sz w:val="28"/>
                <w:szCs w:val="28"/>
              </w:rPr>
              <w:t>2</w:t>
            </w:r>
            <w:r w:rsidRPr="0045568D">
              <w:rPr>
                <w:b/>
                <w:bCs/>
                <w:sz w:val="28"/>
                <w:szCs w:val="28"/>
              </w:rPr>
              <w:t xml:space="preserve">: </w:t>
            </w:r>
            <w:r>
              <w:rPr>
                <w:b/>
                <w:bCs/>
                <w:sz w:val="28"/>
                <w:szCs w:val="28"/>
              </w:rPr>
              <w:t>Delivering Economic Regeneration and Transformation</w:t>
            </w:r>
          </w:p>
        </w:tc>
      </w:tr>
      <w:tr w:rsidR="005029C9" w14:paraId="092C3194" w14:textId="77777777" w:rsidTr="00BB1E68">
        <w:tc>
          <w:tcPr>
            <w:tcW w:w="2411" w:type="dxa"/>
            <w:shd w:val="clear" w:color="auto" w:fill="auto"/>
          </w:tcPr>
          <w:p w14:paraId="07B286E1" w14:textId="0D109962" w:rsidR="005029C9" w:rsidRPr="0045568D" w:rsidRDefault="002E4C48" w:rsidP="002E4C48">
            <w:pPr>
              <w:spacing w:before="240" w:line="276" w:lineRule="auto"/>
              <w:contextualSpacing/>
              <w:rPr>
                <w:b/>
                <w:bCs/>
                <w:sz w:val="28"/>
                <w:szCs w:val="28"/>
              </w:rPr>
            </w:pPr>
            <w:r>
              <w:rPr>
                <w:b/>
                <w:bCs/>
                <w:color w:val="2F5496" w:themeColor="accent1" w:themeShade="BF"/>
                <w:sz w:val="24"/>
                <w:szCs w:val="24"/>
              </w:rPr>
              <w:t>2.1 SME  Development and Transition (€20m)</w:t>
            </w:r>
          </w:p>
        </w:tc>
        <w:tc>
          <w:tcPr>
            <w:tcW w:w="7796" w:type="dxa"/>
            <w:shd w:val="clear" w:color="auto" w:fill="auto"/>
          </w:tcPr>
          <w:p w14:paraId="0F88AB9C" w14:textId="121987AE" w:rsidR="005029C9" w:rsidRPr="00427D55" w:rsidRDefault="002E4C48" w:rsidP="002E4C48">
            <w:pPr>
              <w:contextualSpacing/>
              <w:jc w:val="both"/>
              <w:rPr>
                <w:rFonts w:cstheme="minorHAnsi"/>
              </w:rPr>
            </w:pPr>
            <w:r>
              <w:rPr>
                <w:rFonts w:cstheme="minorHAnsi"/>
              </w:rPr>
              <w:t xml:space="preserve">This investment will support SMEs to operate at scale through cross border collaboration; engage in commercially led innovation; and effectively transition to engage in the low carbon, circular economy. </w:t>
            </w:r>
          </w:p>
        </w:tc>
      </w:tr>
      <w:tr w:rsidR="002E4C48" w14:paraId="10427B87" w14:textId="77777777" w:rsidTr="00BB1E68">
        <w:tc>
          <w:tcPr>
            <w:tcW w:w="2411" w:type="dxa"/>
            <w:shd w:val="clear" w:color="auto" w:fill="auto"/>
          </w:tcPr>
          <w:p w14:paraId="1B7C48E7" w14:textId="3AF96913" w:rsidR="002E4C48" w:rsidRPr="0045568D" w:rsidRDefault="002E4C48" w:rsidP="002E4C48">
            <w:pPr>
              <w:spacing w:line="276" w:lineRule="auto"/>
              <w:contextualSpacing/>
              <w:rPr>
                <w:b/>
                <w:bCs/>
                <w:sz w:val="28"/>
                <w:szCs w:val="28"/>
              </w:rPr>
            </w:pPr>
            <w:r>
              <w:rPr>
                <w:b/>
                <w:bCs/>
                <w:color w:val="2F5496" w:themeColor="accent1" w:themeShade="BF"/>
                <w:sz w:val="24"/>
                <w:szCs w:val="24"/>
              </w:rPr>
              <w:t>2.2 Innovation Challenge Fund (€58m)</w:t>
            </w:r>
          </w:p>
        </w:tc>
        <w:tc>
          <w:tcPr>
            <w:tcW w:w="7796" w:type="dxa"/>
            <w:shd w:val="clear" w:color="auto" w:fill="auto"/>
          </w:tcPr>
          <w:p w14:paraId="0A05816A" w14:textId="43238456" w:rsidR="002E4C48" w:rsidRPr="00427D55" w:rsidRDefault="002E4C48" w:rsidP="002E4C48">
            <w:pPr>
              <w:contextualSpacing/>
              <w:jc w:val="both"/>
              <w:rPr>
                <w:rFonts w:cstheme="minorHAnsi"/>
              </w:rPr>
            </w:pPr>
            <w:r>
              <w:rPr>
                <w:rFonts w:cstheme="minorHAnsi"/>
              </w:rPr>
              <w:t>This investment will facilitate high level cross border research and innovation projects, including those with an Environment focus</w:t>
            </w:r>
            <w:r w:rsidR="00E506C3">
              <w:rPr>
                <w:rFonts w:cstheme="minorHAnsi"/>
              </w:rPr>
              <w:t>,</w:t>
            </w:r>
            <w:r>
              <w:rPr>
                <w:rFonts w:cstheme="minorHAnsi"/>
              </w:rPr>
              <w:t xml:space="preserve"> within key sectors such as Renewable Energy and Bio Energy. </w:t>
            </w:r>
          </w:p>
        </w:tc>
      </w:tr>
      <w:tr w:rsidR="002E4C48" w14:paraId="08380CCA" w14:textId="77777777" w:rsidTr="00BB1E68">
        <w:tc>
          <w:tcPr>
            <w:tcW w:w="2411" w:type="dxa"/>
            <w:shd w:val="clear" w:color="auto" w:fill="auto"/>
          </w:tcPr>
          <w:p w14:paraId="39F191E6" w14:textId="1E7FEAA9" w:rsidR="002E4C48" w:rsidRDefault="002E4C48" w:rsidP="002E4C48">
            <w:pPr>
              <w:spacing w:line="276" w:lineRule="auto"/>
              <w:contextualSpacing/>
              <w:rPr>
                <w:b/>
                <w:bCs/>
                <w:color w:val="2F5496" w:themeColor="accent1" w:themeShade="BF"/>
                <w:sz w:val="24"/>
                <w:szCs w:val="24"/>
              </w:rPr>
            </w:pPr>
            <w:r>
              <w:rPr>
                <w:b/>
                <w:bCs/>
                <w:color w:val="2F5496" w:themeColor="accent1" w:themeShade="BF"/>
                <w:sz w:val="24"/>
                <w:szCs w:val="24"/>
              </w:rPr>
              <w:t xml:space="preserve">2.3 Programme Area Skills Development </w:t>
            </w:r>
            <w:r w:rsidRPr="002523C0">
              <w:rPr>
                <w:b/>
                <w:bCs/>
                <w:color w:val="2F5496" w:themeColor="accent1" w:themeShade="BF"/>
                <w:sz w:val="24"/>
                <w:szCs w:val="24"/>
              </w:rPr>
              <w:t>(€</w:t>
            </w:r>
            <w:r>
              <w:rPr>
                <w:b/>
                <w:bCs/>
                <w:color w:val="2F5496" w:themeColor="accent1" w:themeShade="BF"/>
                <w:sz w:val="24"/>
                <w:szCs w:val="24"/>
              </w:rPr>
              <w:t>35</w:t>
            </w:r>
            <w:r w:rsidRPr="002523C0">
              <w:rPr>
                <w:b/>
                <w:bCs/>
                <w:color w:val="2F5496" w:themeColor="accent1" w:themeShade="BF"/>
                <w:sz w:val="24"/>
                <w:szCs w:val="24"/>
              </w:rPr>
              <w:t>m)</w:t>
            </w:r>
          </w:p>
        </w:tc>
        <w:tc>
          <w:tcPr>
            <w:tcW w:w="7796" w:type="dxa"/>
            <w:shd w:val="clear" w:color="auto" w:fill="auto"/>
          </w:tcPr>
          <w:p w14:paraId="32F1B56B" w14:textId="6050D989" w:rsidR="002E4C48" w:rsidRDefault="002E4C48" w:rsidP="002E4C48">
            <w:pPr>
              <w:contextualSpacing/>
              <w:jc w:val="both"/>
              <w:rPr>
                <w:rFonts w:cstheme="minorHAnsi"/>
              </w:rPr>
            </w:pPr>
            <w:r>
              <w:rPr>
                <w:rFonts w:cstheme="minorHAnsi"/>
              </w:rPr>
              <w:t xml:space="preserve">This investment area will support area-based approaches to address emerging skills requirements across the Programme area. </w:t>
            </w:r>
            <w:r w:rsidR="007C0229">
              <w:rPr>
                <w:rFonts w:cstheme="minorHAnsi"/>
              </w:rPr>
              <w:t>This</w:t>
            </w:r>
            <w:r>
              <w:rPr>
                <w:rFonts w:cstheme="minorHAnsi"/>
              </w:rPr>
              <w:t xml:space="preserve"> will include a focus upon key Environmental sectors</w:t>
            </w:r>
            <w:r w:rsidR="00E506C3">
              <w:rPr>
                <w:rFonts w:cstheme="minorHAnsi"/>
              </w:rPr>
              <w:t>,</w:t>
            </w:r>
            <w:r>
              <w:rPr>
                <w:rFonts w:cstheme="minorHAnsi"/>
              </w:rPr>
              <w:t xml:space="preserve"> including Renewable Energy</w:t>
            </w:r>
            <w:r w:rsidR="008F5F90">
              <w:rPr>
                <w:rFonts w:cstheme="minorHAnsi"/>
              </w:rPr>
              <w:t>.</w:t>
            </w:r>
          </w:p>
          <w:p w14:paraId="03770644" w14:textId="0A607EEB" w:rsidR="00E506C3" w:rsidRDefault="00E506C3" w:rsidP="002E4C48">
            <w:pPr>
              <w:contextualSpacing/>
              <w:jc w:val="both"/>
              <w:rPr>
                <w:rFonts w:cstheme="minorHAnsi"/>
              </w:rPr>
            </w:pPr>
          </w:p>
        </w:tc>
      </w:tr>
      <w:tr w:rsidR="005029C9" w14:paraId="191BCEC0" w14:textId="77777777" w:rsidTr="00BB1E68">
        <w:tc>
          <w:tcPr>
            <w:tcW w:w="2411" w:type="dxa"/>
            <w:shd w:val="clear" w:color="auto" w:fill="auto"/>
          </w:tcPr>
          <w:p w14:paraId="72D5C50C" w14:textId="1977C5D1" w:rsidR="005029C9" w:rsidRDefault="005029C9" w:rsidP="002E4C48">
            <w:pPr>
              <w:spacing w:line="276" w:lineRule="auto"/>
              <w:rPr>
                <w:b/>
                <w:bCs/>
                <w:color w:val="2F5496" w:themeColor="accent1" w:themeShade="BF"/>
                <w:sz w:val="24"/>
                <w:szCs w:val="24"/>
              </w:rPr>
            </w:pPr>
            <w:r>
              <w:rPr>
                <w:b/>
                <w:bCs/>
                <w:color w:val="2F5496" w:themeColor="accent1" w:themeShade="BF"/>
                <w:sz w:val="24"/>
                <w:szCs w:val="24"/>
              </w:rPr>
              <w:t xml:space="preserve">2.4 Smart Towns and Villages </w:t>
            </w:r>
            <w:r w:rsidR="00794F35">
              <w:rPr>
                <w:b/>
                <w:bCs/>
                <w:color w:val="2F5496" w:themeColor="accent1" w:themeShade="BF"/>
                <w:sz w:val="24"/>
                <w:szCs w:val="24"/>
              </w:rPr>
              <w:t xml:space="preserve">Programme </w:t>
            </w:r>
            <w:r>
              <w:rPr>
                <w:b/>
                <w:bCs/>
                <w:color w:val="2F5496" w:themeColor="accent1" w:themeShade="BF"/>
                <w:sz w:val="24"/>
                <w:szCs w:val="24"/>
              </w:rPr>
              <w:t>(€30m)</w:t>
            </w:r>
          </w:p>
        </w:tc>
        <w:tc>
          <w:tcPr>
            <w:tcW w:w="7796" w:type="dxa"/>
            <w:shd w:val="clear" w:color="auto" w:fill="auto"/>
          </w:tcPr>
          <w:p w14:paraId="3AD6D795" w14:textId="77777777" w:rsidR="00BB1E68" w:rsidRDefault="005029C9" w:rsidP="002E4C48">
            <w:pPr>
              <w:contextualSpacing/>
              <w:jc w:val="both"/>
              <w:rPr>
                <w:rFonts w:cstheme="minorHAnsi"/>
              </w:rPr>
            </w:pPr>
            <w:r>
              <w:rPr>
                <w:rFonts w:cstheme="minorHAnsi"/>
              </w:rPr>
              <w:t xml:space="preserve">This investment area will support stakeholders including the Community &amp; Voluntary Sector to lead the transformation of vacant spaces within town and village centre for communal </w:t>
            </w:r>
            <w:r w:rsidR="002E4C48">
              <w:rPr>
                <w:rFonts w:cstheme="minorHAnsi"/>
              </w:rPr>
              <w:t>economic</w:t>
            </w:r>
            <w:r>
              <w:rPr>
                <w:rFonts w:cstheme="minorHAnsi"/>
              </w:rPr>
              <w:t xml:space="preserve"> and social usage. It will </w:t>
            </w:r>
            <w:r w:rsidR="00E506C3">
              <w:rPr>
                <w:rFonts w:cstheme="minorHAnsi"/>
              </w:rPr>
              <w:t xml:space="preserve">result in increased </w:t>
            </w:r>
            <w:r w:rsidR="00BB1E68">
              <w:rPr>
                <w:rFonts w:cstheme="minorHAnsi"/>
              </w:rPr>
              <w:t>opportunities for remote working within rural communities, which will contribute to a more inclusive and balanced economy</w:t>
            </w:r>
            <w:r w:rsidR="00D44AFB">
              <w:rPr>
                <w:rFonts w:cstheme="minorHAnsi"/>
              </w:rPr>
              <w:t xml:space="preserve"> and a </w:t>
            </w:r>
            <w:r w:rsidR="00E506C3">
              <w:rPr>
                <w:rFonts w:cstheme="minorHAnsi"/>
              </w:rPr>
              <w:t xml:space="preserve">corresponding </w:t>
            </w:r>
            <w:r w:rsidR="00D44AFB">
              <w:rPr>
                <w:rFonts w:cstheme="minorHAnsi"/>
              </w:rPr>
              <w:t>reduction in CO2 emissions</w:t>
            </w:r>
            <w:r w:rsidR="008F5F90">
              <w:rPr>
                <w:rFonts w:cstheme="minorHAnsi"/>
              </w:rPr>
              <w:t xml:space="preserve"> across the Programme area</w:t>
            </w:r>
            <w:r w:rsidR="00D44AFB">
              <w:rPr>
                <w:rFonts w:cstheme="minorHAnsi"/>
              </w:rPr>
              <w:t xml:space="preserve">. </w:t>
            </w:r>
          </w:p>
          <w:p w14:paraId="0DF55DCA" w14:textId="7DC99E9D" w:rsidR="00E506C3" w:rsidRPr="00BB1E68" w:rsidRDefault="00E506C3" w:rsidP="002E4C48">
            <w:pPr>
              <w:contextualSpacing/>
              <w:jc w:val="both"/>
              <w:rPr>
                <w:rFonts w:cstheme="minorHAnsi"/>
              </w:rPr>
            </w:pPr>
          </w:p>
        </w:tc>
      </w:tr>
      <w:tr w:rsidR="005029C9" w14:paraId="370F5716" w14:textId="77777777" w:rsidTr="00AC4839">
        <w:tc>
          <w:tcPr>
            <w:tcW w:w="10207" w:type="dxa"/>
            <w:gridSpan w:val="2"/>
            <w:shd w:val="clear" w:color="auto" w:fill="F2F2F2" w:themeFill="background1" w:themeFillShade="F2"/>
          </w:tcPr>
          <w:p w14:paraId="06DF1402" w14:textId="13FF4C89" w:rsidR="005029C9" w:rsidRPr="0045568D" w:rsidRDefault="005029C9" w:rsidP="005029C9">
            <w:pPr>
              <w:spacing w:line="276" w:lineRule="auto"/>
              <w:contextualSpacing/>
              <w:jc w:val="both"/>
              <w:rPr>
                <w:b/>
                <w:bCs/>
                <w:sz w:val="28"/>
                <w:szCs w:val="28"/>
              </w:rPr>
            </w:pPr>
            <w:r w:rsidRPr="0045568D">
              <w:rPr>
                <w:b/>
                <w:bCs/>
                <w:sz w:val="28"/>
                <w:szCs w:val="28"/>
              </w:rPr>
              <w:t xml:space="preserve">Theme </w:t>
            </w:r>
            <w:r>
              <w:rPr>
                <w:b/>
                <w:bCs/>
                <w:sz w:val="28"/>
                <w:szCs w:val="28"/>
              </w:rPr>
              <w:t>3</w:t>
            </w:r>
            <w:r w:rsidRPr="0045568D">
              <w:rPr>
                <w:b/>
                <w:bCs/>
                <w:sz w:val="28"/>
                <w:szCs w:val="28"/>
              </w:rPr>
              <w:t xml:space="preserve">: </w:t>
            </w:r>
            <w:r>
              <w:rPr>
                <w:b/>
                <w:bCs/>
                <w:sz w:val="28"/>
                <w:szCs w:val="28"/>
              </w:rPr>
              <w:t>Empowering and Investing in Our Young People</w:t>
            </w:r>
          </w:p>
        </w:tc>
      </w:tr>
      <w:tr w:rsidR="005029C9" w14:paraId="42346FB4" w14:textId="77777777" w:rsidTr="00BB1E68">
        <w:tc>
          <w:tcPr>
            <w:tcW w:w="2411" w:type="dxa"/>
            <w:shd w:val="clear" w:color="auto" w:fill="auto"/>
          </w:tcPr>
          <w:p w14:paraId="5C95DD7B" w14:textId="77777777" w:rsidR="005029C9" w:rsidRPr="00B129E7" w:rsidRDefault="005029C9" w:rsidP="005029C9">
            <w:pPr>
              <w:spacing w:line="276" w:lineRule="auto"/>
              <w:rPr>
                <w:b/>
                <w:bCs/>
                <w:color w:val="2F5496" w:themeColor="accent1" w:themeShade="BF"/>
                <w:sz w:val="24"/>
                <w:szCs w:val="24"/>
              </w:rPr>
            </w:pPr>
            <w:r>
              <w:rPr>
                <w:b/>
                <w:bCs/>
                <w:color w:val="2F5496" w:themeColor="accent1" w:themeShade="BF"/>
                <w:sz w:val="24"/>
                <w:szCs w:val="24"/>
              </w:rPr>
              <w:t xml:space="preserve">3.2 </w:t>
            </w:r>
            <w:r w:rsidRPr="00B129E7">
              <w:rPr>
                <w:b/>
                <w:bCs/>
                <w:color w:val="2F5496" w:themeColor="accent1" w:themeShade="BF"/>
                <w:sz w:val="24"/>
                <w:szCs w:val="24"/>
              </w:rPr>
              <w:t xml:space="preserve">PEACE PLUS Youth Programme </w:t>
            </w:r>
          </w:p>
          <w:p w14:paraId="63CA3084" w14:textId="7C5EA3F4" w:rsidR="005029C9" w:rsidRDefault="005029C9" w:rsidP="005029C9">
            <w:pPr>
              <w:spacing w:line="276" w:lineRule="auto"/>
              <w:rPr>
                <w:b/>
                <w:bCs/>
                <w:color w:val="2F5496" w:themeColor="accent1" w:themeShade="BF"/>
                <w:sz w:val="24"/>
                <w:szCs w:val="24"/>
              </w:rPr>
            </w:pPr>
            <w:r w:rsidRPr="00B129E7">
              <w:rPr>
                <w:b/>
                <w:bCs/>
                <w:color w:val="2F5496" w:themeColor="accent1" w:themeShade="BF"/>
                <w:sz w:val="24"/>
                <w:szCs w:val="24"/>
              </w:rPr>
              <w:t xml:space="preserve"> (€45m)</w:t>
            </w:r>
          </w:p>
        </w:tc>
        <w:tc>
          <w:tcPr>
            <w:tcW w:w="7796" w:type="dxa"/>
            <w:shd w:val="clear" w:color="auto" w:fill="auto"/>
          </w:tcPr>
          <w:p w14:paraId="69C6101B" w14:textId="77777777" w:rsidR="005029C9" w:rsidRDefault="005029C9" w:rsidP="00D44AFB">
            <w:pPr>
              <w:contextualSpacing/>
              <w:jc w:val="both"/>
              <w:rPr>
                <w:rFonts w:cstheme="minorHAnsi"/>
              </w:rPr>
            </w:pPr>
            <w:r>
              <w:rPr>
                <w:rFonts w:cstheme="minorHAnsi"/>
              </w:rPr>
              <w:t>This investment area will build the</w:t>
            </w:r>
            <w:r w:rsidRPr="0011631E">
              <w:rPr>
                <w:rFonts w:cstheme="minorHAnsi"/>
              </w:rPr>
              <w:t xml:space="preserve"> capacity of marginalised and disadvantaged young people within the Programme area, while enhancing their employability</w:t>
            </w:r>
            <w:r>
              <w:rPr>
                <w:rFonts w:cstheme="minorHAnsi"/>
              </w:rPr>
              <w:t xml:space="preserve">. Supported projects will incorporate the ‘one good adult’ approach. It will </w:t>
            </w:r>
            <w:r w:rsidR="00D44AFB">
              <w:rPr>
                <w:rFonts w:cstheme="minorHAnsi"/>
              </w:rPr>
              <w:t xml:space="preserve">provide young people with the opportunities to participate in social action projects, including those of an environmental nature. </w:t>
            </w:r>
            <w:r w:rsidR="00BB1E68">
              <w:rPr>
                <w:rFonts w:cstheme="minorHAnsi"/>
              </w:rPr>
              <w:t xml:space="preserve"> </w:t>
            </w:r>
          </w:p>
          <w:p w14:paraId="5EB433CF" w14:textId="5F19545B" w:rsidR="00E506C3" w:rsidRPr="009225F9" w:rsidRDefault="00E506C3" w:rsidP="00D44AFB">
            <w:pPr>
              <w:contextualSpacing/>
              <w:jc w:val="both"/>
              <w:rPr>
                <w:rFonts w:cstheme="minorHAnsi"/>
              </w:rPr>
            </w:pPr>
          </w:p>
        </w:tc>
      </w:tr>
      <w:tr w:rsidR="005029C9" w14:paraId="4FAF132E" w14:textId="77777777" w:rsidTr="00542F12">
        <w:tc>
          <w:tcPr>
            <w:tcW w:w="10207" w:type="dxa"/>
            <w:gridSpan w:val="2"/>
            <w:shd w:val="clear" w:color="auto" w:fill="F2F2F2" w:themeFill="background1" w:themeFillShade="F2"/>
          </w:tcPr>
          <w:p w14:paraId="7467DDA6" w14:textId="6D9C697C" w:rsidR="005029C9" w:rsidRPr="006662F0" w:rsidRDefault="005029C9" w:rsidP="005029C9">
            <w:pPr>
              <w:spacing w:line="276" w:lineRule="auto"/>
              <w:contextualSpacing/>
              <w:rPr>
                <w:rFonts w:cstheme="minorHAnsi"/>
              </w:rPr>
            </w:pPr>
            <w:r w:rsidRPr="0045568D">
              <w:rPr>
                <w:b/>
                <w:bCs/>
                <w:sz w:val="28"/>
                <w:szCs w:val="28"/>
              </w:rPr>
              <w:t xml:space="preserve">Theme </w:t>
            </w:r>
            <w:r>
              <w:rPr>
                <w:b/>
                <w:bCs/>
                <w:sz w:val="28"/>
                <w:szCs w:val="28"/>
              </w:rPr>
              <w:t>4</w:t>
            </w:r>
            <w:r w:rsidRPr="0045568D">
              <w:rPr>
                <w:b/>
                <w:bCs/>
                <w:sz w:val="28"/>
                <w:szCs w:val="28"/>
              </w:rPr>
              <w:t xml:space="preserve">: </w:t>
            </w:r>
            <w:r>
              <w:rPr>
                <w:b/>
                <w:bCs/>
                <w:sz w:val="28"/>
                <w:szCs w:val="28"/>
              </w:rPr>
              <w:t xml:space="preserve">Healthy and Inclusive Communities </w:t>
            </w:r>
          </w:p>
        </w:tc>
      </w:tr>
      <w:tr w:rsidR="005029C9" w14:paraId="536E51D7" w14:textId="77777777" w:rsidTr="00BB1E68">
        <w:tc>
          <w:tcPr>
            <w:tcW w:w="2411" w:type="dxa"/>
            <w:shd w:val="clear" w:color="auto" w:fill="auto"/>
          </w:tcPr>
          <w:p w14:paraId="7157BC6D" w14:textId="2DCB6C5C" w:rsidR="005029C9" w:rsidRPr="004A6C8C" w:rsidRDefault="005029C9" w:rsidP="005029C9">
            <w:pPr>
              <w:spacing w:line="276" w:lineRule="auto"/>
              <w:rPr>
                <w:b/>
                <w:bCs/>
                <w:color w:val="2F5496" w:themeColor="accent1" w:themeShade="BF"/>
                <w:sz w:val="24"/>
                <w:szCs w:val="24"/>
              </w:rPr>
            </w:pPr>
            <w:r w:rsidRPr="004A6C8C">
              <w:rPr>
                <w:b/>
                <w:bCs/>
                <w:color w:val="2F5496" w:themeColor="accent1" w:themeShade="BF"/>
                <w:sz w:val="24"/>
                <w:szCs w:val="24"/>
              </w:rPr>
              <w:t>4.</w:t>
            </w:r>
            <w:r w:rsidR="00D44AFB">
              <w:rPr>
                <w:b/>
                <w:bCs/>
                <w:color w:val="2F5496" w:themeColor="accent1" w:themeShade="BF"/>
                <w:sz w:val="24"/>
                <w:szCs w:val="24"/>
              </w:rPr>
              <w:t>2</w:t>
            </w:r>
            <w:r w:rsidRPr="004A6C8C">
              <w:rPr>
                <w:b/>
                <w:bCs/>
                <w:color w:val="2F5496" w:themeColor="accent1" w:themeShade="BF"/>
                <w:sz w:val="24"/>
                <w:szCs w:val="24"/>
              </w:rPr>
              <w:t xml:space="preserve"> </w:t>
            </w:r>
            <w:r w:rsidR="00D44AFB">
              <w:rPr>
                <w:b/>
                <w:bCs/>
                <w:color w:val="2F5496" w:themeColor="accent1" w:themeShade="BF"/>
                <w:sz w:val="24"/>
                <w:szCs w:val="24"/>
              </w:rPr>
              <w:t>Rural Regeneration and Social Inclusion</w:t>
            </w:r>
            <w:r w:rsidRPr="004A6C8C">
              <w:rPr>
                <w:b/>
                <w:bCs/>
                <w:color w:val="2F5496" w:themeColor="accent1" w:themeShade="BF"/>
                <w:sz w:val="24"/>
                <w:szCs w:val="24"/>
              </w:rPr>
              <w:t xml:space="preserve"> (€</w:t>
            </w:r>
            <w:r w:rsidR="00D44AFB">
              <w:rPr>
                <w:b/>
                <w:bCs/>
                <w:color w:val="2F5496" w:themeColor="accent1" w:themeShade="BF"/>
                <w:sz w:val="24"/>
                <w:szCs w:val="24"/>
              </w:rPr>
              <w:t>5</w:t>
            </w:r>
            <w:r w:rsidRPr="004A6C8C">
              <w:rPr>
                <w:b/>
                <w:bCs/>
                <w:color w:val="2F5496" w:themeColor="accent1" w:themeShade="BF"/>
                <w:sz w:val="24"/>
                <w:szCs w:val="24"/>
              </w:rPr>
              <w:t>0m)</w:t>
            </w:r>
          </w:p>
        </w:tc>
        <w:tc>
          <w:tcPr>
            <w:tcW w:w="7796" w:type="dxa"/>
            <w:shd w:val="clear" w:color="auto" w:fill="auto"/>
          </w:tcPr>
          <w:p w14:paraId="2C650744" w14:textId="4CEA27B5" w:rsidR="005029C9" w:rsidRDefault="00D44AFB" w:rsidP="00D44AFB">
            <w:pPr>
              <w:contextualSpacing/>
              <w:jc w:val="both"/>
              <w:rPr>
                <w:rFonts w:cstheme="minorHAnsi"/>
              </w:rPr>
            </w:pPr>
            <w:r>
              <w:rPr>
                <w:rFonts w:cstheme="minorHAnsi"/>
              </w:rPr>
              <w:t>This investment area will adopt a strengths-based approach to supporting key social, economic and environmental projects</w:t>
            </w:r>
            <w:r w:rsidR="00E506C3">
              <w:rPr>
                <w:rFonts w:cstheme="minorHAnsi"/>
              </w:rPr>
              <w:t xml:space="preserve">. These will </w:t>
            </w:r>
            <w:r>
              <w:rPr>
                <w:rFonts w:cstheme="minorHAnsi"/>
              </w:rPr>
              <w:t xml:space="preserve">contribute to sustainable regeneration, social inclusion and the creation of heathy and thriving rural communities. Investment </w:t>
            </w:r>
            <w:r w:rsidR="00E506C3">
              <w:rPr>
                <w:rFonts w:cstheme="minorHAnsi"/>
              </w:rPr>
              <w:t xml:space="preserve">within rural communities </w:t>
            </w:r>
            <w:r>
              <w:rPr>
                <w:rFonts w:cstheme="minorHAnsi"/>
              </w:rPr>
              <w:t xml:space="preserve">will include the development of </w:t>
            </w:r>
            <w:r w:rsidR="007A30EF">
              <w:rPr>
                <w:rFonts w:cstheme="minorHAnsi"/>
              </w:rPr>
              <w:t xml:space="preserve">natural assets in the form of </w:t>
            </w:r>
            <w:r>
              <w:rPr>
                <w:rFonts w:cstheme="minorHAnsi"/>
              </w:rPr>
              <w:t>green infrastructure</w:t>
            </w:r>
            <w:r w:rsidR="007A30EF">
              <w:rPr>
                <w:rFonts w:cstheme="minorHAnsi"/>
              </w:rPr>
              <w:t>. This</w:t>
            </w:r>
            <w:r>
              <w:rPr>
                <w:rFonts w:cstheme="minorHAnsi"/>
              </w:rPr>
              <w:t xml:space="preserve"> will promote active lifestyles and sustainable connectivity between rural and urban areas. </w:t>
            </w:r>
          </w:p>
          <w:p w14:paraId="4DE48926" w14:textId="6E64CEF9" w:rsidR="00E506C3" w:rsidRPr="004A6C8C" w:rsidRDefault="00E506C3" w:rsidP="00D44AFB">
            <w:pPr>
              <w:contextualSpacing/>
              <w:jc w:val="both"/>
              <w:rPr>
                <w:rFonts w:cstheme="minorHAnsi"/>
              </w:rPr>
            </w:pPr>
          </w:p>
        </w:tc>
      </w:tr>
      <w:tr w:rsidR="005029C9" w14:paraId="061F9BBC" w14:textId="77777777" w:rsidTr="00542F12">
        <w:tc>
          <w:tcPr>
            <w:tcW w:w="10207" w:type="dxa"/>
            <w:gridSpan w:val="2"/>
            <w:shd w:val="clear" w:color="auto" w:fill="F2F2F2" w:themeFill="background1" w:themeFillShade="F2"/>
          </w:tcPr>
          <w:p w14:paraId="60E6823F" w14:textId="53A2A153" w:rsidR="005029C9" w:rsidRPr="006662F0" w:rsidRDefault="005029C9" w:rsidP="005029C9">
            <w:pPr>
              <w:spacing w:line="276" w:lineRule="auto"/>
              <w:contextualSpacing/>
              <w:jc w:val="both"/>
              <w:rPr>
                <w:rFonts w:cstheme="minorHAnsi"/>
              </w:rPr>
            </w:pPr>
            <w:r w:rsidRPr="0045568D">
              <w:rPr>
                <w:b/>
                <w:bCs/>
                <w:sz w:val="28"/>
                <w:szCs w:val="28"/>
              </w:rPr>
              <w:t xml:space="preserve">Theme </w:t>
            </w:r>
            <w:r>
              <w:rPr>
                <w:b/>
                <w:bCs/>
                <w:sz w:val="28"/>
                <w:szCs w:val="28"/>
              </w:rPr>
              <w:t>6</w:t>
            </w:r>
            <w:r w:rsidRPr="0045568D">
              <w:rPr>
                <w:b/>
                <w:bCs/>
                <w:sz w:val="28"/>
                <w:szCs w:val="28"/>
              </w:rPr>
              <w:t xml:space="preserve">: </w:t>
            </w:r>
            <w:r>
              <w:rPr>
                <w:b/>
                <w:bCs/>
                <w:sz w:val="28"/>
                <w:szCs w:val="28"/>
              </w:rPr>
              <w:t xml:space="preserve">Building and Embedding Partnership and Collaboration </w:t>
            </w:r>
          </w:p>
        </w:tc>
      </w:tr>
      <w:tr w:rsidR="005029C9" w14:paraId="5C114635" w14:textId="77777777" w:rsidTr="00BB1E68">
        <w:tc>
          <w:tcPr>
            <w:tcW w:w="2411" w:type="dxa"/>
            <w:shd w:val="clear" w:color="auto" w:fill="auto"/>
          </w:tcPr>
          <w:p w14:paraId="493D56E2" w14:textId="5294BE72" w:rsidR="005029C9" w:rsidRPr="002523C0" w:rsidRDefault="0068621C" w:rsidP="005029C9">
            <w:pPr>
              <w:spacing w:line="276" w:lineRule="auto"/>
              <w:rPr>
                <w:b/>
                <w:bCs/>
                <w:color w:val="2F5496" w:themeColor="accent1" w:themeShade="BF"/>
                <w:sz w:val="24"/>
                <w:szCs w:val="24"/>
              </w:rPr>
            </w:pPr>
            <w:r>
              <w:rPr>
                <w:b/>
                <w:bCs/>
                <w:color w:val="2F5496" w:themeColor="accent1" w:themeShade="BF"/>
                <w:sz w:val="24"/>
                <w:szCs w:val="24"/>
              </w:rPr>
              <w:t>6.1</w:t>
            </w:r>
            <w:bookmarkStart w:id="1" w:name="_GoBack"/>
            <w:bookmarkEnd w:id="1"/>
            <w:r w:rsidR="00326723">
              <w:rPr>
                <w:b/>
                <w:bCs/>
                <w:color w:val="2F5496" w:themeColor="accent1" w:themeShade="BF"/>
                <w:sz w:val="24"/>
                <w:szCs w:val="24"/>
              </w:rPr>
              <w:t xml:space="preserve"> </w:t>
            </w:r>
            <w:r w:rsidR="00D44AFB">
              <w:rPr>
                <w:b/>
                <w:bCs/>
                <w:color w:val="2F5496" w:themeColor="accent1" w:themeShade="BF"/>
                <w:sz w:val="24"/>
                <w:szCs w:val="24"/>
              </w:rPr>
              <w:t>Strategic Planning and Engagement</w:t>
            </w:r>
            <w:r w:rsidR="00326723">
              <w:rPr>
                <w:b/>
                <w:bCs/>
                <w:color w:val="2F5496" w:themeColor="accent1" w:themeShade="BF"/>
                <w:sz w:val="24"/>
                <w:szCs w:val="24"/>
              </w:rPr>
              <w:t xml:space="preserve"> </w:t>
            </w:r>
            <w:r w:rsidR="00326723" w:rsidRPr="002523C0">
              <w:rPr>
                <w:b/>
                <w:bCs/>
                <w:color w:val="2F5496" w:themeColor="accent1" w:themeShade="BF"/>
                <w:sz w:val="24"/>
                <w:szCs w:val="24"/>
              </w:rPr>
              <w:t>(€</w:t>
            </w:r>
            <w:r w:rsidR="00326723">
              <w:rPr>
                <w:b/>
                <w:bCs/>
                <w:color w:val="2F5496" w:themeColor="accent1" w:themeShade="BF"/>
                <w:sz w:val="24"/>
                <w:szCs w:val="24"/>
              </w:rPr>
              <w:t>27</w:t>
            </w:r>
            <w:r w:rsidR="00326723" w:rsidRPr="002523C0">
              <w:rPr>
                <w:b/>
                <w:bCs/>
                <w:color w:val="2F5496" w:themeColor="accent1" w:themeShade="BF"/>
                <w:sz w:val="24"/>
                <w:szCs w:val="24"/>
              </w:rPr>
              <w:t>m)</w:t>
            </w:r>
          </w:p>
        </w:tc>
        <w:tc>
          <w:tcPr>
            <w:tcW w:w="7796" w:type="dxa"/>
            <w:shd w:val="clear" w:color="auto" w:fill="auto"/>
          </w:tcPr>
          <w:p w14:paraId="06A25C62" w14:textId="1270F511" w:rsidR="005029C9" w:rsidRDefault="00D44AFB" w:rsidP="00D44AFB">
            <w:pPr>
              <w:contextualSpacing/>
              <w:jc w:val="both"/>
              <w:rPr>
                <w:rFonts w:cstheme="minorHAnsi"/>
              </w:rPr>
            </w:pPr>
            <w:r>
              <w:rPr>
                <w:rFonts w:cstheme="minorHAnsi"/>
              </w:rPr>
              <w:t>This investment area will support engagement of strategic stakeholders, targeting legal and administrative obst</w:t>
            </w:r>
            <w:r w:rsidR="000858BC">
              <w:rPr>
                <w:rFonts w:cstheme="minorHAnsi"/>
              </w:rPr>
              <w:t xml:space="preserve">acles to cooperation in relevant sectors. It will </w:t>
            </w:r>
            <w:r w:rsidR="000858BC" w:rsidRPr="000858BC">
              <w:rPr>
                <w:rFonts w:cstheme="minorHAnsi"/>
              </w:rPr>
              <w:t>facilitat</w:t>
            </w:r>
            <w:r w:rsidR="000858BC">
              <w:rPr>
                <w:rFonts w:cstheme="minorHAnsi"/>
              </w:rPr>
              <w:t>e</w:t>
            </w:r>
            <w:r w:rsidR="000858BC" w:rsidRPr="000858BC">
              <w:rPr>
                <w:rFonts w:cstheme="minorHAnsi"/>
              </w:rPr>
              <w:t xml:space="preserve"> </w:t>
            </w:r>
            <w:r w:rsidR="000858BC">
              <w:rPr>
                <w:rFonts w:cstheme="minorHAnsi"/>
              </w:rPr>
              <w:t>d</w:t>
            </w:r>
            <w:r w:rsidR="000858BC" w:rsidRPr="000858BC">
              <w:rPr>
                <w:rFonts w:cstheme="minorHAnsi"/>
              </w:rPr>
              <w:t xml:space="preserve">ialogue between different actors to establish the challenges and possible solutions to facilitate increased cross border collaboration in key sectors </w:t>
            </w:r>
            <w:r w:rsidR="007A30EF">
              <w:rPr>
                <w:rFonts w:cstheme="minorHAnsi"/>
              </w:rPr>
              <w:t xml:space="preserve">such as </w:t>
            </w:r>
            <w:r w:rsidR="000858BC" w:rsidRPr="000858BC">
              <w:rPr>
                <w:rFonts w:cstheme="minorHAnsi"/>
              </w:rPr>
              <w:t xml:space="preserve">Energy and the Environment (including air quality). </w:t>
            </w:r>
          </w:p>
          <w:p w14:paraId="513AE934" w14:textId="3AD48941" w:rsidR="00E506C3" w:rsidRPr="006662F0" w:rsidRDefault="00E506C3" w:rsidP="00D44AFB">
            <w:pPr>
              <w:contextualSpacing/>
              <w:jc w:val="both"/>
              <w:rPr>
                <w:rFonts w:cstheme="minorHAnsi"/>
              </w:rPr>
            </w:pPr>
          </w:p>
        </w:tc>
      </w:tr>
      <w:tr w:rsidR="00326723" w14:paraId="4687E8AF" w14:textId="77777777" w:rsidTr="00BB1E68">
        <w:tc>
          <w:tcPr>
            <w:tcW w:w="2411" w:type="dxa"/>
            <w:shd w:val="clear" w:color="auto" w:fill="auto"/>
          </w:tcPr>
          <w:p w14:paraId="5F52DAD4" w14:textId="43C43CF9" w:rsidR="00326723" w:rsidRDefault="00326723" w:rsidP="005029C9">
            <w:pPr>
              <w:spacing w:line="276" w:lineRule="auto"/>
              <w:rPr>
                <w:b/>
                <w:bCs/>
                <w:color w:val="2F5496" w:themeColor="accent1" w:themeShade="BF"/>
                <w:sz w:val="24"/>
                <w:szCs w:val="24"/>
              </w:rPr>
            </w:pPr>
            <w:r>
              <w:rPr>
                <w:b/>
                <w:bCs/>
                <w:color w:val="2F5496" w:themeColor="accent1" w:themeShade="BF"/>
                <w:sz w:val="24"/>
                <w:szCs w:val="24"/>
              </w:rPr>
              <w:t xml:space="preserve">6.2 Maintaining and Forging Relationships between Citizens </w:t>
            </w:r>
            <w:r w:rsidRPr="002523C0">
              <w:rPr>
                <w:b/>
                <w:bCs/>
                <w:color w:val="2F5496" w:themeColor="accent1" w:themeShade="BF"/>
                <w:sz w:val="24"/>
                <w:szCs w:val="24"/>
              </w:rPr>
              <w:t>(€</w:t>
            </w:r>
            <w:r>
              <w:rPr>
                <w:b/>
                <w:bCs/>
                <w:color w:val="2F5496" w:themeColor="accent1" w:themeShade="BF"/>
                <w:sz w:val="24"/>
                <w:szCs w:val="24"/>
              </w:rPr>
              <w:t>20</w:t>
            </w:r>
            <w:r w:rsidRPr="002523C0">
              <w:rPr>
                <w:b/>
                <w:bCs/>
                <w:color w:val="2F5496" w:themeColor="accent1" w:themeShade="BF"/>
                <w:sz w:val="24"/>
                <w:szCs w:val="24"/>
              </w:rPr>
              <w:t>m)</w:t>
            </w:r>
          </w:p>
        </w:tc>
        <w:tc>
          <w:tcPr>
            <w:tcW w:w="7796" w:type="dxa"/>
            <w:shd w:val="clear" w:color="auto" w:fill="auto"/>
          </w:tcPr>
          <w:p w14:paraId="08A1E982" w14:textId="1300CA9D" w:rsidR="00326723" w:rsidRDefault="00D44AFB" w:rsidP="000858BC">
            <w:pPr>
              <w:shd w:val="clear" w:color="auto" w:fill="FFFFFF" w:themeFill="background1"/>
              <w:jc w:val="both"/>
              <w:rPr>
                <w:rFonts w:cstheme="minorHAnsi"/>
              </w:rPr>
            </w:pPr>
            <w:r w:rsidRPr="000858BC">
              <w:rPr>
                <w:rFonts w:cstheme="minorHAnsi"/>
              </w:rPr>
              <w:t xml:space="preserve">This investment </w:t>
            </w:r>
            <w:r w:rsidR="000858BC" w:rsidRPr="000858BC">
              <w:rPr>
                <w:rFonts w:cstheme="minorHAnsi"/>
              </w:rPr>
              <w:t xml:space="preserve">area </w:t>
            </w:r>
            <w:r w:rsidRPr="000858BC">
              <w:rPr>
                <w:rFonts w:cstheme="minorHAnsi"/>
              </w:rPr>
              <w:t xml:space="preserve">will </w:t>
            </w:r>
            <w:r w:rsidR="000858BC" w:rsidRPr="000858BC">
              <w:rPr>
                <w:rFonts w:cstheme="minorHAnsi"/>
              </w:rPr>
              <w:t xml:space="preserve">support </w:t>
            </w:r>
            <w:r w:rsidRPr="000858BC">
              <w:rPr>
                <w:rFonts w:cstheme="minorHAnsi"/>
              </w:rPr>
              <w:t xml:space="preserve">smaller projects </w:t>
            </w:r>
            <w:r w:rsidR="00E506C3">
              <w:rPr>
                <w:rFonts w:cstheme="minorHAnsi"/>
              </w:rPr>
              <w:t xml:space="preserve">which </w:t>
            </w:r>
            <w:r w:rsidRPr="000858BC">
              <w:rPr>
                <w:rFonts w:cstheme="minorHAnsi"/>
              </w:rPr>
              <w:t>increase social and civic cohesion on a cross border basis. It will provide opportunities for cross border initiatives led by</w:t>
            </w:r>
            <w:r w:rsidR="00E506C3">
              <w:rPr>
                <w:rFonts w:cstheme="minorHAnsi"/>
              </w:rPr>
              <w:t xml:space="preserve"> Statutory,</w:t>
            </w:r>
            <w:r w:rsidRPr="000858BC">
              <w:rPr>
                <w:rFonts w:cstheme="minorHAnsi"/>
              </w:rPr>
              <w:t xml:space="preserve"> Community &amp; Voluntary Sector organisations, including </w:t>
            </w:r>
            <w:r w:rsidR="00E506C3">
              <w:rPr>
                <w:rFonts w:cstheme="minorHAnsi"/>
              </w:rPr>
              <w:t xml:space="preserve">those with an environmental focus. </w:t>
            </w:r>
          </w:p>
        </w:tc>
      </w:tr>
    </w:tbl>
    <w:p w14:paraId="0CCE85A0" w14:textId="77777777" w:rsidR="00D44AFB" w:rsidRDefault="00D44AFB" w:rsidP="00D117E8"/>
    <w:sectPr w:rsidR="00D44AF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E99F8" w14:textId="77777777" w:rsidR="0062602A" w:rsidRDefault="0062602A" w:rsidP="00AA28F2">
      <w:pPr>
        <w:spacing w:after="0" w:line="240" w:lineRule="auto"/>
      </w:pPr>
      <w:r>
        <w:separator/>
      </w:r>
    </w:p>
  </w:endnote>
  <w:endnote w:type="continuationSeparator" w:id="0">
    <w:p w14:paraId="002272DF" w14:textId="77777777" w:rsidR="0062602A" w:rsidRDefault="0062602A" w:rsidP="00AA2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05863" w14:textId="77777777" w:rsidR="00AA28F2" w:rsidRDefault="00AA28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6E115" w14:textId="77777777" w:rsidR="00AA28F2" w:rsidRDefault="00AA28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364F1" w14:textId="77777777" w:rsidR="00AA28F2" w:rsidRDefault="00AA28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79022" w14:textId="77777777" w:rsidR="0062602A" w:rsidRDefault="0062602A" w:rsidP="00AA28F2">
      <w:pPr>
        <w:spacing w:after="0" w:line="240" w:lineRule="auto"/>
      </w:pPr>
      <w:r>
        <w:separator/>
      </w:r>
    </w:p>
  </w:footnote>
  <w:footnote w:type="continuationSeparator" w:id="0">
    <w:p w14:paraId="6C16AF50" w14:textId="77777777" w:rsidR="0062602A" w:rsidRDefault="0062602A" w:rsidP="00AA28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1A889" w14:textId="77777777" w:rsidR="00AA28F2" w:rsidRDefault="00AA28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D5107" w14:textId="29CB8EF7" w:rsidR="00AA28F2" w:rsidRDefault="00AA28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9E59C" w14:textId="77777777" w:rsidR="00AA28F2" w:rsidRDefault="00AA28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8520F8"/>
    <w:multiLevelType w:val="hybridMultilevel"/>
    <w:tmpl w:val="0D2A611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4F4971B5"/>
    <w:multiLevelType w:val="hybridMultilevel"/>
    <w:tmpl w:val="006C6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F63574"/>
    <w:multiLevelType w:val="hybridMultilevel"/>
    <w:tmpl w:val="7C8EB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0AF"/>
    <w:rsid w:val="00005AE8"/>
    <w:rsid w:val="000106F4"/>
    <w:rsid w:val="00064871"/>
    <w:rsid w:val="000662D1"/>
    <w:rsid w:val="000858BC"/>
    <w:rsid w:val="0011631E"/>
    <w:rsid w:val="001571EC"/>
    <w:rsid w:val="00162A04"/>
    <w:rsid w:val="00180283"/>
    <w:rsid w:val="00190C3A"/>
    <w:rsid w:val="00192B47"/>
    <w:rsid w:val="001C7311"/>
    <w:rsid w:val="001D2203"/>
    <w:rsid w:val="002100B7"/>
    <w:rsid w:val="00217648"/>
    <w:rsid w:val="00226C06"/>
    <w:rsid w:val="002346D6"/>
    <w:rsid w:val="00251A98"/>
    <w:rsid w:val="002523C0"/>
    <w:rsid w:val="00255D6E"/>
    <w:rsid w:val="002772FC"/>
    <w:rsid w:val="00296827"/>
    <w:rsid w:val="002A7598"/>
    <w:rsid w:val="002E1F7B"/>
    <w:rsid w:val="002E4C48"/>
    <w:rsid w:val="002F29F7"/>
    <w:rsid w:val="00301D74"/>
    <w:rsid w:val="00303176"/>
    <w:rsid w:val="00326723"/>
    <w:rsid w:val="00365EC8"/>
    <w:rsid w:val="003B5E12"/>
    <w:rsid w:val="003B62AB"/>
    <w:rsid w:val="003D22F1"/>
    <w:rsid w:val="00427D55"/>
    <w:rsid w:val="0045568D"/>
    <w:rsid w:val="00496113"/>
    <w:rsid w:val="004A6C8C"/>
    <w:rsid w:val="004B50F7"/>
    <w:rsid w:val="004C7C2E"/>
    <w:rsid w:val="004D73E6"/>
    <w:rsid w:val="005029C9"/>
    <w:rsid w:val="00513A82"/>
    <w:rsid w:val="005424B9"/>
    <w:rsid w:val="00542F12"/>
    <w:rsid w:val="005938F1"/>
    <w:rsid w:val="00617B32"/>
    <w:rsid w:val="0062602A"/>
    <w:rsid w:val="00651F23"/>
    <w:rsid w:val="00662B56"/>
    <w:rsid w:val="006662F0"/>
    <w:rsid w:val="0068621C"/>
    <w:rsid w:val="00696E53"/>
    <w:rsid w:val="006B7E9D"/>
    <w:rsid w:val="007554C4"/>
    <w:rsid w:val="00794F35"/>
    <w:rsid w:val="007A30EF"/>
    <w:rsid w:val="007C0229"/>
    <w:rsid w:val="00800734"/>
    <w:rsid w:val="00823615"/>
    <w:rsid w:val="008B2E91"/>
    <w:rsid w:val="008B497C"/>
    <w:rsid w:val="008C4871"/>
    <w:rsid w:val="008D1DB2"/>
    <w:rsid w:val="008F5F90"/>
    <w:rsid w:val="00911290"/>
    <w:rsid w:val="009225F9"/>
    <w:rsid w:val="009816FD"/>
    <w:rsid w:val="009A3429"/>
    <w:rsid w:val="009C7BE5"/>
    <w:rsid w:val="009F7F77"/>
    <w:rsid w:val="00A1084A"/>
    <w:rsid w:val="00A21FC5"/>
    <w:rsid w:val="00A2317E"/>
    <w:rsid w:val="00A346B6"/>
    <w:rsid w:val="00A644C2"/>
    <w:rsid w:val="00AA28F2"/>
    <w:rsid w:val="00AC0224"/>
    <w:rsid w:val="00AC4839"/>
    <w:rsid w:val="00AE2B30"/>
    <w:rsid w:val="00B129E7"/>
    <w:rsid w:val="00B63966"/>
    <w:rsid w:val="00B87E07"/>
    <w:rsid w:val="00BB1E68"/>
    <w:rsid w:val="00BD53A2"/>
    <w:rsid w:val="00BE26ED"/>
    <w:rsid w:val="00BF4A2C"/>
    <w:rsid w:val="00C11B60"/>
    <w:rsid w:val="00C450FF"/>
    <w:rsid w:val="00C65648"/>
    <w:rsid w:val="00CA4827"/>
    <w:rsid w:val="00CB4D3D"/>
    <w:rsid w:val="00CE0B66"/>
    <w:rsid w:val="00CE32E1"/>
    <w:rsid w:val="00CE6B09"/>
    <w:rsid w:val="00CF552B"/>
    <w:rsid w:val="00D117E8"/>
    <w:rsid w:val="00D261A9"/>
    <w:rsid w:val="00D373D9"/>
    <w:rsid w:val="00D44AFB"/>
    <w:rsid w:val="00D57013"/>
    <w:rsid w:val="00D80BCA"/>
    <w:rsid w:val="00DA7D93"/>
    <w:rsid w:val="00DE7E01"/>
    <w:rsid w:val="00E11DF4"/>
    <w:rsid w:val="00E34BEA"/>
    <w:rsid w:val="00E506C3"/>
    <w:rsid w:val="00E5107B"/>
    <w:rsid w:val="00E52B2D"/>
    <w:rsid w:val="00E90CE7"/>
    <w:rsid w:val="00EB5C40"/>
    <w:rsid w:val="00ED447B"/>
    <w:rsid w:val="00EF29DC"/>
    <w:rsid w:val="00F340AF"/>
    <w:rsid w:val="00F816DC"/>
    <w:rsid w:val="00F818D6"/>
    <w:rsid w:val="00FD33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D971BE"/>
  <w15:chartTrackingRefBased/>
  <w15:docId w15:val="{340B7445-D5FD-48C6-9CB2-8B90CC4C6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5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Maire,Bullet Style,List Paragraph1,Dot pt,No Spacing1,List Paragraph Char Char Char,Indicator Text,Numbered Para 1,Bullet 1,Bullet Points,MAIN CONTENT,List Paragraph2,OBC Bullet,List Paragraph11,List Paragraph12,F5 List Paragraph,Mai,Mair"/>
    <w:basedOn w:val="Normal"/>
    <w:link w:val="ListParagraphChar"/>
    <w:uiPriority w:val="34"/>
    <w:qFormat/>
    <w:rsid w:val="003D22F1"/>
    <w:pPr>
      <w:ind w:left="720"/>
      <w:contextualSpacing/>
    </w:pPr>
  </w:style>
  <w:style w:type="paragraph" w:styleId="Header">
    <w:name w:val="header"/>
    <w:basedOn w:val="Normal"/>
    <w:link w:val="HeaderChar"/>
    <w:uiPriority w:val="99"/>
    <w:unhideWhenUsed/>
    <w:rsid w:val="00AA28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28F2"/>
  </w:style>
  <w:style w:type="paragraph" w:styleId="Footer">
    <w:name w:val="footer"/>
    <w:basedOn w:val="Normal"/>
    <w:link w:val="FooterChar"/>
    <w:uiPriority w:val="99"/>
    <w:unhideWhenUsed/>
    <w:rsid w:val="00AA28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28F2"/>
  </w:style>
  <w:style w:type="character" w:customStyle="1" w:styleId="ListParagraphChar">
    <w:name w:val="List Paragraph Char"/>
    <w:aliases w:val="Maire Char,Bullet Style Char,List Paragraph1 Char,Dot pt Char,No Spacing1 Char,List Paragraph Char Char Char Char,Indicator Text Char,Numbered Para 1 Char,Bullet 1 Char,Bullet Points Char,MAIN CONTENT Char,List Paragraph2 Char"/>
    <w:basedOn w:val="DefaultParagraphFont"/>
    <w:link w:val="ListParagraph"/>
    <w:uiPriority w:val="34"/>
    <w:qFormat/>
    <w:rsid w:val="002E4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D055C-C54C-414A-9303-2620B13FF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1467</Words>
  <Characters>8363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fearon</dc:creator>
  <cp:keywords/>
  <dc:description/>
  <cp:lastModifiedBy>Catherine Clynes (PER)</cp:lastModifiedBy>
  <cp:revision>3</cp:revision>
  <cp:lastPrinted>2021-03-10T13:25:00Z</cp:lastPrinted>
  <dcterms:created xsi:type="dcterms:W3CDTF">2021-04-13T13:12:00Z</dcterms:created>
  <dcterms:modified xsi:type="dcterms:W3CDTF">2021-04-13T13:12:00Z</dcterms:modified>
</cp:coreProperties>
</file>