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4822" w14:textId="1B9A532B" w:rsidR="00CE0B66" w:rsidRPr="0011631E" w:rsidRDefault="00CE0B66" w:rsidP="00064871">
      <w:pPr>
        <w:spacing w:line="276" w:lineRule="auto"/>
        <w:jc w:val="center"/>
        <w:rPr>
          <w:b/>
          <w:bCs/>
          <w:sz w:val="32"/>
          <w:szCs w:val="32"/>
        </w:rPr>
      </w:pPr>
      <w:bookmarkStart w:id="0" w:name="_GoBack"/>
      <w:bookmarkEnd w:id="0"/>
      <w:r w:rsidRPr="00E34BEA">
        <w:rPr>
          <w:b/>
          <w:bCs/>
          <w:sz w:val="32"/>
          <w:szCs w:val="32"/>
        </w:rPr>
        <w:t>The PEACE PLUS Programme</w:t>
      </w:r>
      <w:r w:rsidR="000D56A5">
        <w:rPr>
          <w:b/>
          <w:bCs/>
          <w:sz w:val="32"/>
          <w:szCs w:val="32"/>
        </w:rPr>
        <w:t xml:space="preserve"> –</w:t>
      </w:r>
      <w:r w:rsidR="00CF552B">
        <w:rPr>
          <w:b/>
          <w:bCs/>
          <w:sz w:val="32"/>
          <w:szCs w:val="32"/>
        </w:rPr>
        <w:t xml:space="preserve"> </w:t>
      </w:r>
      <w:r w:rsidR="000D56A5">
        <w:rPr>
          <w:b/>
          <w:bCs/>
          <w:sz w:val="32"/>
          <w:szCs w:val="32"/>
        </w:rPr>
        <w:t xml:space="preserve">Tourism </w:t>
      </w:r>
      <w:r w:rsidR="00CF552B">
        <w:rPr>
          <w:b/>
          <w:bCs/>
          <w:sz w:val="32"/>
          <w:szCs w:val="32"/>
        </w:rPr>
        <w:t>Sector</w:t>
      </w:r>
    </w:p>
    <w:tbl>
      <w:tblPr>
        <w:tblStyle w:val="TableGrid"/>
        <w:tblW w:w="0" w:type="auto"/>
        <w:tblLook w:val="04A0" w:firstRow="1" w:lastRow="0" w:firstColumn="1" w:lastColumn="0" w:noHBand="0" w:noVBand="1"/>
      </w:tblPr>
      <w:tblGrid>
        <w:gridCol w:w="9016"/>
      </w:tblGrid>
      <w:tr w:rsidR="00C65648" w14:paraId="477EC3EA" w14:textId="77777777" w:rsidTr="00C65648">
        <w:tc>
          <w:tcPr>
            <w:tcW w:w="9016" w:type="dxa"/>
            <w:shd w:val="clear" w:color="auto" w:fill="F2F2F2" w:themeFill="background1" w:themeFillShade="F2"/>
          </w:tcPr>
          <w:p w14:paraId="2666C59D" w14:textId="0C5F5830" w:rsidR="001C7311" w:rsidRDefault="00C65648" w:rsidP="002432A7">
            <w:pPr>
              <w:jc w:val="both"/>
              <w:rPr>
                <w:b/>
                <w:bCs/>
              </w:rPr>
            </w:pPr>
            <w:r w:rsidRPr="00B63966">
              <w:rPr>
                <w:b/>
                <w:bCs/>
              </w:rPr>
              <w:t xml:space="preserve">The PEACE PLUS Programme is a €1bn investment in the social, economic and environmental development of Northern Ireland </w:t>
            </w:r>
            <w:r w:rsidR="004D73E6" w:rsidRPr="00B63966">
              <w:rPr>
                <w:b/>
                <w:bCs/>
              </w:rPr>
              <w:t xml:space="preserve">and </w:t>
            </w:r>
            <w:r w:rsidRPr="00B63966">
              <w:rPr>
                <w:b/>
                <w:bCs/>
              </w:rPr>
              <w:t xml:space="preserve">the border </w:t>
            </w:r>
            <w:r w:rsidR="001C7311" w:rsidRPr="00B63966">
              <w:rPr>
                <w:b/>
                <w:bCs/>
              </w:rPr>
              <w:t>counties</w:t>
            </w:r>
            <w:r w:rsidRPr="00B63966">
              <w:rPr>
                <w:b/>
                <w:bCs/>
              </w:rPr>
              <w:t xml:space="preserve"> of Ireland</w:t>
            </w:r>
            <w:r w:rsidR="001C7311" w:rsidRPr="00B63966">
              <w:rPr>
                <w:b/>
                <w:bCs/>
              </w:rPr>
              <w:t>.</w:t>
            </w:r>
            <w:r w:rsidRPr="00B63966">
              <w:rPr>
                <w:b/>
                <w:bCs/>
              </w:rPr>
              <w:t xml:space="preserve"> </w:t>
            </w:r>
          </w:p>
          <w:p w14:paraId="40C6F291" w14:textId="77777777" w:rsidR="00B63966" w:rsidRPr="00B63966" w:rsidRDefault="00B63966" w:rsidP="002432A7">
            <w:pPr>
              <w:jc w:val="both"/>
              <w:rPr>
                <w:b/>
                <w:bCs/>
              </w:rPr>
            </w:pPr>
          </w:p>
          <w:p w14:paraId="6CED89D1" w14:textId="31007C07" w:rsidR="001C7311" w:rsidRDefault="007554C4" w:rsidP="002432A7">
            <w:pPr>
              <w:jc w:val="both"/>
              <w:rPr>
                <w:rFonts w:cstheme="minorHAnsi"/>
              </w:rPr>
            </w:pPr>
            <w:r w:rsidRPr="00B63966">
              <w:t>Building</w:t>
            </w:r>
            <w:r w:rsidR="003D22F1" w:rsidRPr="00B63966">
              <w:t xml:space="preserve"> upon </w:t>
            </w:r>
            <w:r w:rsidRPr="00B63966">
              <w:t xml:space="preserve">the success of </w:t>
            </w:r>
            <w:r w:rsidR="003D22F1" w:rsidRPr="00B63966">
              <w:t xml:space="preserve">previous </w:t>
            </w:r>
            <w:r w:rsidR="00751E83">
              <w:t xml:space="preserve">cross border </w:t>
            </w:r>
            <w:r w:rsidR="003D22F1" w:rsidRPr="00B63966">
              <w:t>PEACE and INTERREG Programmes</w:t>
            </w:r>
            <w:r w:rsidRPr="00B63966">
              <w:t xml:space="preserve">, </w:t>
            </w:r>
            <w:r w:rsidR="00D55186">
              <w:t>it</w:t>
            </w:r>
            <w:r w:rsidR="003D22F1" w:rsidRPr="00B63966">
              <w:rPr>
                <w:rFonts w:cstheme="minorHAnsi"/>
              </w:rPr>
              <w:t xml:space="preserve"> will contribute to a more peaceful, prosperous and stable society</w:t>
            </w:r>
            <w:r w:rsidR="001C7311" w:rsidRPr="00B63966">
              <w:rPr>
                <w:rFonts w:cstheme="minorHAnsi"/>
              </w:rPr>
              <w:t xml:space="preserve">, leaving </w:t>
            </w:r>
            <w:r w:rsidR="003D22F1" w:rsidRPr="00B63966">
              <w:rPr>
                <w:rFonts w:cstheme="minorHAnsi"/>
              </w:rPr>
              <w:t>a lasting legacy</w:t>
            </w:r>
            <w:r w:rsidR="00B63966">
              <w:rPr>
                <w:rFonts w:cstheme="minorHAnsi"/>
              </w:rPr>
              <w:t xml:space="preserve"> across the Programme area</w:t>
            </w:r>
            <w:r w:rsidR="003D22F1" w:rsidRPr="00B63966">
              <w:rPr>
                <w:rFonts w:cstheme="minorHAnsi"/>
              </w:rPr>
              <w:t xml:space="preserve">. </w:t>
            </w:r>
            <w:r w:rsidRPr="00B63966">
              <w:rPr>
                <w:rFonts w:eastAsia="Times New Roman" w:cstheme="minorHAnsi"/>
                <w:lang w:eastAsia="en-GB"/>
              </w:rPr>
              <w:t>This will</w:t>
            </w:r>
            <w:r w:rsidR="003D22F1" w:rsidRPr="00B63966">
              <w:rPr>
                <w:rFonts w:eastAsia="Times New Roman" w:cstheme="minorHAnsi"/>
                <w:lang w:eastAsia="en-GB"/>
              </w:rPr>
              <w:t xml:space="preserve"> </w:t>
            </w:r>
            <w:r w:rsidRPr="00B63966">
              <w:rPr>
                <w:rFonts w:eastAsia="Times New Roman" w:cstheme="minorHAnsi"/>
                <w:lang w:eastAsia="en-GB"/>
              </w:rPr>
              <w:t xml:space="preserve">be </w:t>
            </w:r>
            <w:r w:rsidR="003D22F1" w:rsidRPr="00B63966">
              <w:rPr>
                <w:rFonts w:eastAsia="Times New Roman" w:cstheme="minorHAnsi"/>
                <w:lang w:eastAsia="en-GB"/>
              </w:rPr>
              <w:t>achieve</w:t>
            </w:r>
            <w:r w:rsidRPr="00B63966">
              <w:rPr>
                <w:rFonts w:eastAsia="Times New Roman" w:cstheme="minorHAnsi"/>
                <w:lang w:eastAsia="en-GB"/>
              </w:rPr>
              <w:t>d</w:t>
            </w:r>
            <w:r w:rsidR="003D22F1" w:rsidRPr="00B63966">
              <w:rPr>
                <w:rFonts w:eastAsia="Times New Roman" w:cstheme="minorHAnsi"/>
                <w:lang w:eastAsia="en-GB"/>
              </w:rPr>
              <w:t xml:space="preserve"> </w:t>
            </w:r>
            <w:r w:rsidRPr="00B63966">
              <w:rPr>
                <w:rFonts w:eastAsia="Times New Roman" w:cstheme="minorHAnsi"/>
                <w:lang w:eastAsia="en-GB"/>
              </w:rPr>
              <w:t>by</w:t>
            </w:r>
            <w:r w:rsidR="003D22F1" w:rsidRPr="00B63966">
              <w:rPr>
                <w:rFonts w:eastAsia="Times New Roman" w:cstheme="minorHAnsi"/>
                <w:lang w:eastAsia="en-GB"/>
              </w:rPr>
              <w:t xml:space="preserve"> funding activities that promote peace and reconciliation </w:t>
            </w:r>
            <w:r w:rsidRPr="00B63966">
              <w:rPr>
                <w:rFonts w:eastAsia="Times New Roman" w:cstheme="minorHAnsi"/>
                <w:lang w:eastAsia="en-GB"/>
              </w:rPr>
              <w:t xml:space="preserve">across </w:t>
            </w:r>
            <w:r w:rsidR="00900AFB">
              <w:rPr>
                <w:rFonts w:eastAsia="Times New Roman" w:cstheme="minorHAnsi"/>
                <w:lang w:eastAsia="en-GB"/>
              </w:rPr>
              <w:t>six</w:t>
            </w:r>
            <w:r w:rsidRPr="00B63966">
              <w:rPr>
                <w:rFonts w:eastAsia="Times New Roman" w:cstheme="minorHAnsi"/>
                <w:lang w:eastAsia="en-GB"/>
              </w:rPr>
              <w:t xml:space="preserve"> </w:t>
            </w:r>
            <w:r w:rsidR="0035734A">
              <w:rPr>
                <w:rFonts w:eastAsia="Times New Roman" w:cstheme="minorHAnsi"/>
                <w:lang w:eastAsia="en-GB"/>
              </w:rPr>
              <w:t>t</w:t>
            </w:r>
            <w:r w:rsidRPr="00B63966">
              <w:rPr>
                <w:rFonts w:eastAsia="Times New Roman" w:cstheme="minorHAnsi"/>
                <w:lang w:eastAsia="en-GB"/>
              </w:rPr>
              <w:t>hemes, which encompass 21 individual investment areas</w:t>
            </w:r>
            <w:r w:rsidR="009C5442">
              <w:rPr>
                <w:rFonts w:eastAsia="Times New Roman" w:cstheme="minorHAnsi"/>
                <w:lang w:eastAsia="en-GB"/>
              </w:rPr>
              <w:t xml:space="preserve"> as outlined below</w:t>
            </w:r>
            <w:r w:rsidR="00B63966">
              <w:rPr>
                <w:rFonts w:eastAsia="Times New Roman" w:cstheme="minorHAnsi"/>
                <w:lang w:eastAsia="en-GB"/>
              </w:rPr>
              <w:t xml:space="preserve">. </w:t>
            </w:r>
            <w:r w:rsidR="001D2203">
              <w:rPr>
                <w:rFonts w:eastAsia="Times New Roman" w:cstheme="minorHAnsi"/>
                <w:lang w:eastAsia="en-GB"/>
              </w:rPr>
              <w:t>These</w:t>
            </w:r>
            <w:r w:rsidR="001D2203" w:rsidRPr="001D2203">
              <w:rPr>
                <w:rFonts w:cstheme="minorHAnsi"/>
              </w:rPr>
              <w:t xml:space="preserve"> have been d</w:t>
            </w:r>
            <w:r w:rsidR="001D2203">
              <w:rPr>
                <w:rFonts w:cstheme="minorHAnsi"/>
              </w:rPr>
              <w:t xml:space="preserve">eveloped </w:t>
            </w:r>
            <w:r w:rsidR="001D2203" w:rsidRPr="001D2203">
              <w:rPr>
                <w:rFonts w:cstheme="minorHAnsi"/>
              </w:rPr>
              <w:t xml:space="preserve">to optimise engagement and participation across all </w:t>
            </w:r>
            <w:r w:rsidR="00E37EA1">
              <w:rPr>
                <w:rFonts w:cstheme="minorHAnsi"/>
              </w:rPr>
              <w:t xml:space="preserve">ages, </w:t>
            </w:r>
            <w:r w:rsidR="001D2203" w:rsidRPr="001D2203">
              <w:rPr>
                <w:rFonts w:cstheme="minorHAnsi"/>
              </w:rPr>
              <w:t>communities and sectors</w:t>
            </w:r>
            <w:r w:rsidR="001D2203">
              <w:rPr>
                <w:rFonts w:cstheme="minorHAnsi"/>
              </w:rPr>
              <w:t>.</w:t>
            </w:r>
          </w:p>
          <w:p w14:paraId="7AA2EAF6" w14:textId="77777777" w:rsidR="009C5442" w:rsidRDefault="009C5442" w:rsidP="002432A7">
            <w:pPr>
              <w:jc w:val="both"/>
              <w:rPr>
                <w:rFonts w:cstheme="minorHAnsi"/>
              </w:rPr>
            </w:pPr>
          </w:p>
          <w:p w14:paraId="2B816B5E" w14:textId="1F00BD88" w:rsidR="009C5442" w:rsidRDefault="009C5442" w:rsidP="002432A7">
            <w:pPr>
              <w:jc w:val="both"/>
              <w:rPr>
                <w:rFonts w:cstheme="minorHAnsi"/>
              </w:rPr>
            </w:pPr>
            <w:r>
              <w:rPr>
                <w:noProof/>
                <w:lang w:val="en-IE" w:eastAsia="en-IE"/>
              </w:rPr>
              <w:drawing>
                <wp:inline distT="0" distB="0" distL="0" distR="0" wp14:anchorId="7A73CFB6" wp14:editId="47F479FE">
                  <wp:extent cx="5731510" cy="1295400"/>
                  <wp:effectExtent l="0" t="0" r="254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731510" cy="1295400"/>
                          </a:xfrm>
                          <a:prstGeom prst="rect">
                            <a:avLst/>
                          </a:prstGeom>
                          <a:noFill/>
                          <a:ln w="9525">
                            <a:noFill/>
                            <a:miter lim="800000"/>
                            <a:headEnd/>
                            <a:tailEnd/>
                          </a:ln>
                        </pic:spPr>
                      </pic:pic>
                    </a:graphicData>
                  </a:graphic>
                </wp:inline>
              </w:drawing>
            </w:r>
          </w:p>
          <w:p w14:paraId="3C3D3AB9" w14:textId="3A1BE32E" w:rsidR="001D2203" w:rsidRDefault="001D2203" w:rsidP="002432A7">
            <w:pPr>
              <w:jc w:val="both"/>
              <w:rPr>
                <w:rFonts w:ascii="Arial" w:hAnsi="Arial" w:cs="Arial"/>
              </w:rPr>
            </w:pPr>
          </w:p>
          <w:p w14:paraId="3650E760" w14:textId="10D77034" w:rsidR="00962D14" w:rsidRDefault="00696E53" w:rsidP="002432A7">
            <w:pPr>
              <w:jc w:val="both"/>
              <w:rPr>
                <w:rFonts w:eastAsia="Times New Roman" w:cstheme="minorHAnsi"/>
                <w:lang w:eastAsia="en-GB"/>
              </w:rPr>
            </w:pPr>
            <w:r w:rsidRPr="00B63966">
              <w:rPr>
                <w:rFonts w:eastAsia="Times New Roman" w:cstheme="minorHAnsi"/>
                <w:lang w:eastAsia="en-GB"/>
              </w:rPr>
              <w:t xml:space="preserve">A public consultation regarding the </w:t>
            </w:r>
            <w:r w:rsidR="00E34BEA">
              <w:rPr>
                <w:rFonts w:eastAsia="Times New Roman" w:cstheme="minorHAnsi"/>
                <w:lang w:eastAsia="en-GB"/>
              </w:rPr>
              <w:t xml:space="preserve">potential </w:t>
            </w:r>
            <w:r w:rsidRPr="00B63966">
              <w:rPr>
                <w:rFonts w:eastAsia="Times New Roman" w:cstheme="minorHAnsi"/>
                <w:lang w:eastAsia="en-GB"/>
              </w:rPr>
              <w:t xml:space="preserve">PEACE PLUS Programme design was held in 2019-20. In response to the views expressed, SEUPB has developed the Programme to </w:t>
            </w:r>
            <w:r w:rsidR="00D3540B">
              <w:rPr>
                <w:rFonts w:eastAsia="Times New Roman" w:cstheme="minorHAnsi"/>
                <w:lang w:eastAsia="en-GB"/>
              </w:rPr>
              <w:t xml:space="preserve">provide </w:t>
            </w:r>
            <w:r w:rsidR="00E37EA1">
              <w:rPr>
                <w:rFonts w:eastAsia="Times New Roman" w:cstheme="minorHAnsi"/>
                <w:lang w:eastAsia="en-GB"/>
              </w:rPr>
              <w:t>a number of</w:t>
            </w:r>
            <w:r w:rsidRPr="00B63966">
              <w:rPr>
                <w:rFonts w:eastAsia="Times New Roman" w:cstheme="minorHAnsi"/>
                <w:lang w:eastAsia="en-GB"/>
              </w:rPr>
              <w:t xml:space="preserve"> opportunities for engagement by</w:t>
            </w:r>
            <w:r w:rsidRPr="0035734A">
              <w:rPr>
                <w:rFonts w:eastAsia="Times New Roman" w:cstheme="minorHAnsi"/>
                <w:bCs/>
                <w:lang w:eastAsia="en-GB"/>
              </w:rPr>
              <w:t xml:space="preserve"> </w:t>
            </w:r>
            <w:r w:rsidR="00781187" w:rsidRPr="0035734A">
              <w:rPr>
                <w:rFonts w:eastAsia="Times New Roman" w:cstheme="minorHAnsi"/>
                <w:bCs/>
                <w:lang w:eastAsia="en-GB"/>
              </w:rPr>
              <w:t>the</w:t>
            </w:r>
            <w:r w:rsidR="00781187">
              <w:rPr>
                <w:rFonts w:eastAsia="Times New Roman" w:cstheme="minorHAnsi"/>
                <w:b/>
                <w:lang w:eastAsia="en-GB"/>
              </w:rPr>
              <w:t xml:space="preserve"> </w:t>
            </w:r>
            <w:r w:rsidR="00A30B20">
              <w:rPr>
                <w:rFonts w:eastAsia="Times New Roman" w:cstheme="minorHAnsi"/>
                <w:b/>
                <w:lang w:eastAsia="en-GB"/>
              </w:rPr>
              <w:t>Tourism</w:t>
            </w:r>
            <w:r w:rsidR="00D3540B">
              <w:rPr>
                <w:rFonts w:eastAsia="Times New Roman" w:cstheme="minorHAnsi"/>
                <w:b/>
                <w:lang w:eastAsia="en-GB"/>
              </w:rPr>
              <w:t xml:space="preserve"> </w:t>
            </w:r>
            <w:r w:rsidRPr="00192B47">
              <w:rPr>
                <w:rFonts w:eastAsia="Times New Roman" w:cstheme="minorHAnsi"/>
                <w:b/>
                <w:lang w:eastAsia="en-GB"/>
              </w:rPr>
              <w:t>Sector</w:t>
            </w:r>
            <w:r w:rsidRPr="00B63966">
              <w:rPr>
                <w:rFonts w:eastAsia="Times New Roman" w:cstheme="minorHAnsi"/>
                <w:lang w:eastAsia="en-GB"/>
              </w:rPr>
              <w:t xml:space="preserve">. </w:t>
            </w:r>
          </w:p>
          <w:p w14:paraId="36E31637" w14:textId="77777777" w:rsidR="00962D14" w:rsidRDefault="00962D14" w:rsidP="002432A7">
            <w:pPr>
              <w:jc w:val="both"/>
              <w:rPr>
                <w:rFonts w:eastAsia="Times New Roman" w:cstheme="minorHAnsi"/>
                <w:lang w:eastAsia="en-GB"/>
              </w:rPr>
            </w:pPr>
          </w:p>
          <w:p w14:paraId="50EA1756" w14:textId="2CD55508" w:rsidR="00942A83" w:rsidRPr="00942A83" w:rsidRDefault="00962D14" w:rsidP="00942A83">
            <w:pPr>
              <w:jc w:val="both"/>
              <w:rPr>
                <w:rFonts w:cstheme="minorHAnsi"/>
              </w:rPr>
            </w:pPr>
            <w:r>
              <w:rPr>
                <w:rFonts w:cstheme="minorHAnsi"/>
              </w:rPr>
              <w:t xml:space="preserve">Tourism is an area which offers considerable opportunity for cross border collaboration. There are significant economic benefits associated with attracting overseas visitors to the Programme area. </w:t>
            </w:r>
            <w:r w:rsidR="00D930FE">
              <w:rPr>
                <w:rFonts w:cstheme="minorHAnsi"/>
              </w:rPr>
              <w:t>Furthermore</w:t>
            </w:r>
            <w:r>
              <w:rPr>
                <w:rFonts w:cstheme="minorHAnsi"/>
              </w:rPr>
              <w:t xml:space="preserve">, internal tourism activities lead to the development of new perspectives and relationships and thus the creation of a more cohesive society. </w:t>
            </w:r>
            <w:r w:rsidR="00942A83">
              <w:rPr>
                <w:rFonts w:cstheme="minorHAnsi"/>
              </w:rPr>
              <w:t xml:space="preserve">This is a sector which has been very adversely affected by the </w:t>
            </w:r>
            <w:r w:rsidR="007405FC">
              <w:rPr>
                <w:rFonts w:cstheme="minorHAnsi"/>
              </w:rPr>
              <w:t>p</w:t>
            </w:r>
            <w:r w:rsidR="00942A83">
              <w:rPr>
                <w:rFonts w:cstheme="minorHAnsi"/>
              </w:rPr>
              <w:t xml:space="preserve">andemic, therefore </w:t>
            </w:r>
            <w:r w:rsidR="00942A83" w:rsidRPr="00942A83">
              <w:rPr>
                <w:rFonts w:cstheme="minorHAnsi"/>
              </w:rPr>
              <w:t xml:space="preserve">PEACE PLUS incorporates </w:t>
            </w:r>
            <w:r w:rsidR="00942A83">
              <w:rPr>
                <w:rFonts w:cstheme="minorHAnsi"/>
              </w:rPr>
              <w:t xml:space="preserve">many </w:t>
            </w:r>
            <w:r w:rsidR="00942A83" w:rsidRPr="00942A83">
              <w:rPr>
                <w:rFonts w:cstheme="minorHAnsi"/>
              </w:rPr>
              <w:t xml:space="preserve">opportunities for Tourism Sector engagement as outlined below. </w:t>
            </w:r>
          </w:p>
          <w:p w14:paraId="02E315A1" w14:textId="5CC16A19" w:rsidR="00962D14" w:rsidRDefault="00962D14" w:rsidP="00962D14">
            <w:pPr>
              <w:jc w:val="both"/>
              <w:rPr>
                <w:rFonts w:cstheme="minorHAnsi"/>
              </w:rPr>
            </w:pPr>
          </w:p>
          <w:p w14:paraId="4953295E" w14:textId="7E0665AB" w:rsidR="00962D14" w:rsidRDefault="00942A83" w:rsidP="00962D14">
            <w:pPr>
              <w:jc w:val="both"/>
              <w:rPr>
                <w:rFonts w:cstheme="minorHAnsi"/>
              </w:rPr>
            </w:pPr>
            <w:r>
              <w:rPr>
                <w:rFonts w:cstheme="minorHAnsi"/>
              </w:rPr>
              <w:t xml:space="preserve">In addition, </w:t>
            </w:r>
            <w:r w:rsidR="00962D14">
              <w:rPr>
                <w:rFonts w:cstheme="minorHAnsi"/>
              </w:rPr>
              <w:t xml:space="preserve">Theme 6 </w:t>
            </w:r>
            <w:r w:rsidR="00547994">
              <w:rPr>
                <w:rFonts w:cstheme="minorHAnsi"/>
              </w:rPr>
              <w:t xml:space="preserve">Building and Embedding Partnership and Collaboration will focus upon maximising </w:t>
            </w:r>
            <w:r w:rsidR="00962D14">
              <w:rPr>
                <w:rFonts w:cstheme="minorHAnsi"/>
              </w:rPr>
              <w:t xml:space="preserve">cross border collaboration across a number of key sectors, including Tourism.  As such, Investment Area 6.1 Strategic Planning and Engagement </w:t>
            </w:r>
            <w:r>
              <w:rPr>
                <w:rFonts w:cstheme="minorHAnsi"/>
              </w:rPr>
              <w:t>can</w:t>
            </w:r>
            <w:r w:rsidR="00962D14">
              <w:rPr>
                <w:rFonts w:cstheme="minorHAnsi"/>
              </w:rPr>
              <w:t xml:space="preserve"> </w:t>
            </w:r>
            <w:r w:rsidR="00547994">
              <w:rPr>
                <w:rFonts w:cstheme="minorHAnsi"/>
              </w:rPr>
              <w:t xml:space="preserve">support the development of a joint tourism branding initiative. This will benefit all Tourism based enterprises operating within the Programme area. </w:t>
            </w:r>
          </w:p>
          <w:p w14:paraId="27F5630B" w14:textId="77777777" w:rsidR="003204C6" w:rsidRDefault="003204C6" w:rsidP="002432A7">
            <w:pPr>
              <w:jc w:val="both"/>
              <w:rPr>
                <w:rFonts w:eastAsia="Times New Roman" w:cstheme="minorHAnsi"/>
                <w:lang w:eastAsia="en-GB"/>
              </w:rPr>
            </w:pPr>
          </w:p>
          <w:p w14:paraId="2CFD83E9" w14:textId="16E69BD8" w:rsidR="009A5FBB" w:rsidRDefault="00D261A9" w:rsidP="002432A7">
            <w:pPr>
              <w:jc w:val="both"/>
              <w:rPr>
                <w:rFonts w:eastAsia="Times New Roman" w:cstheme="minorHAnsi"/>
                <w:lang w:eastAsia="en-GB"/>
              </w:rPr>
            </w:pPr>
            <w:r>
              <w:rPr>
                <w:rFonts w:eastAsia="Times New Roman" w:cstheme="minorHAnsi"/>
                <w:lang w:eastAsia="en-GB"/>
              </w:rPr>
              <w:t xml:space="preserve">We now look forward to </w:t>
            </w:r>
            <w:r w:rsidR="00190C3A">
              <w:rPr>
                <w:rFonts w:eastAsia="Times New Roman" w:cstheme="minorHAnsi"/>
                <w:lang w:eastAsia="en-GB"/>
              </w:rPr>
              <w:t>receiving</w:t>
            </w:r>
            <w:r>
              <w:rPr>
                <w:rFonts w:eastAsia="Times New Roman" w:cstheme="minorHAnsi"/>
                <w:lang w:eastAsia="en-GB"/>
              </w:rPr>
              <w:t xml:space="preserve"> your views on the investment areas proposed</w:t>
            </w:r>
            <w:r w:rsidR="00190C3A">
              <w:rPr>
                <w:rFonts w:eastAsia="Times New Roman" w:cstheme="minorHAnsi"/>
                <w:lang w:eastAsia="en-GB"/>
              </w:rPr>
              <w:t xml:space="preserve"> as part of the Statutory Public Consultation process</w:t>
            </w:r>
            <w:r w:rsidR="00192B47">
              <w:rPr>
                <w:rFonts w:eastAsia="Times New Roman" w:cstheme="minorHAnsi"/>
                <w:lang w:eastAsia="en-GB"/>
              </w:rPr>
              <w:t xml:space="preserve">, and wish to outline all the areas across the Programme which may provide opportunity for you to get involved, and </w:t>
            </w:r>
            <w:r w:rsidR="00781187">
              <w:rPr>
                <w:rFonts w:eastAsia="Times New Roman" w:cstheme="minorHAnsi"/>
                <w:lang w:eastAsia="en-GB"/>
              </w:rPr>
              <w:t>assist in the</w:t>
            </w:r>
            <w:r w:rsidR="00192B47">
              <w:rPr>
                <w:rFonts w:eastAsia="Times New Roman" w:cstheme="minorHAnsi"/>
                <w:lang w:eastAsia="en-GB"/>
              </w:rPr>
              <w:t xml:space="preserve"> preparation of potential projects. </w:t>
            </w:r>
            <w:r w:rsidR="00190C3A">
              <w:rPr>
                <w:rFonts w:eastAsia="Times New Roman" w:cstheme="minorHAnsi"/>
                <w:lang w:eastAsia="en-GB"/>
              </w:rPr>
              <w:t xml:space="preserve"> </w:t>
            </w:r>
          </w:p>
          <w:p w14:paraId="6285F116" w14:textId="25C997DF" w:rsidR="002432A7" w:rsidRPr="0045568D" w:rsidRDefault="002432A7" w:rsidP="00A30B20">
            <w:pPr>
              <w:jc w:val="both"/>
              <w:rPr>
                <w:rFonts w:eastAsia="Times New Roman" w:cstheme="minorHAnsi"/>
                <w:lang w:eastAsia="en-GB"/>
              </w:rPr>
            </w:pPr>
          </w:p>
        </w:tc>
      </w:tr>
    </w:tbl>
    <w:p w14:paraId="7F82821F" w14:textId="77777777" w:rsidR="006100FB" w:rsidRDefault="006100FB" w:rsidP="001A25A4">
      <w:pPr>
        <w:spacing w:line="276" w:lineRule="auto"/>
        <w:jc w:val="center"/>
        <w:rPr>
          <w:b/>
          <w:bCs/>
          <w:sz w:val="28"/>
          <w:szCs w:val="28"/>
        </w:rPr>
      </w:pPr>
    </w:p>
    <w:p w14:paraId="01A62A5E" w14:textId="77777777" w:rsidR="006100FB" w:rsidRDefault="006100FB" w:rsidP="001A25A4">
      <w:pPr>
        <w:spacing w:line="276" w:lineRule="auto"/>
        <w:jc w:val="center"/>
        <w:rPr>
          <w:b/>
          <w:bCs/>
          <w:sz w:val="28"/>
          <w:szCs w:val="28"/>
        </w:rPr>
      </w:pPr>
    </w:p>
    <w:p w14:paraId="3BE6EE08" w14:textId="77777777" w:rsidR="006100FB" w:rsidRDefault="006100FB" w:rsidP="001A25A4">
      <w:pPr>
        <w:spacing w:line="276" w:lineRule="auto"/>
        <w:jc w:val="center"/>
        <w:rPr>
          <w:b/>
          <w:bCs/>
          <w:sz w:val="28"/>
          <w:szCs w:val="28"/>
        </w:rPr>
      </w:pPr>
    </w:p>
    <w:p w14:paraId="1CEA6CDF" w14:textId="77777777" w:rsidR="006100FB" w:rsidRDefault="006100FB" w:rsidP="001A25A4">
      <w:pPr>
        <w:spacing w:line="276" w:lineRule="auto"/>
        <w:jc w:val="center"/>
        <w:rPr>
          <w:b/>
          <w:bCs/>
          <w:sz w:val="28"/>
          <w:szCs w:val="28"/>
        </w:rPr>
      </w:pPr>
    </w:p>
    <w:p w14:paraId="2FF39E7E" w14:textId="77777777" w:rsidR="006100FB" w:rsidRDefault="006100FB" w:rsidP="001A25A4">
      <w:pPr>
        <w:spacing w:line="276" w:lineRule="auto"/>
        <w:jc w:val="center"/>
        <w:rPr>
          <w:b/>
          <w:bCs/>
          <w:sz w:val="28"/>
          <w:szCs w:val="28"/>
        </w:rPr>
      </w:pPr>
    </w:p>
    <w:p w14:paraId="0750FBF2" w14:textId="685F6D5E" w:rsidR="00C65648" w:rsidRPr="00A30B20" w:rsidRDefault="0011631E" w:rsidP="001A25A4">
      <w:pPr>
        <w:spacing w:line="276" w:lineRule="auto"/>
        <w:jc w:val="center"/>
        <w:rPr>
          <w:sz w:val="28"/>
          <w:szCs w:val="28"/>
        </w:rPr>
      </w:pPr>
      <w:r w:rsidRPr="00A30B20">
        <w:rPr>
          <w:b/>
          <w:bCs/>
          <w:sz w:val="28"/>
          <w:szCs w:val="28"/>
        </w:rPr>
        <w:lastRenderedPageBreak/>
        <w:t xml:space="preserve">Opportunities for the </w:t>
      </w:r>
      <w:r w:rsidR="00A30B20" w:rsidRPr="00A30B20">
        <w:rPr>
          <w:b/>
          <w:bCs/>
          <w:sz w:val="28"/>
          <w:szCs w:val="28"/>
        </w:rPr>
        <w:t>Tourism</w:t>
      </w:r>
      <w:r w:rsidRPr="00A30B20">
        <w:rPr>
          <w:b/>
          <w:bCs/>
          <w:sz w:val="28"/>
          <w:szCs w:val="28"/>
        </w:rPr>
        <w:t xml:space="preserve"> Sector to Engage in PEACE PLUS</w:t>
      </w:r>
    </w:p>
    <w:tbl>
      <w:tblPr>
        <w:tblStyle w:val="TableGrid"/>
        <w:tblW w:w="9639" w:type="dxa"/>
        <w:tblInd w:w="-5" w:type="dxa"/>
        <w:tblLook w:val="04A0" w:firstRow="1" w:lastRow="0" w:firstColumn="1" w:lastColumn="0" w:noHBand="0" w:noVBand="1"/>
      </w:tblPr>
      <w:tblGrid>
        <w:gridCol w:w="1843"/>
        <w:gridCol w:w="7796"/>
      </w:tblGrid>
      <w:tr w:rsidR="00E862CC" w:rsidRPr="00F01C04" w14:paraId="7DF104BD" w14:textId="77777777" w:rsidTr="006100FB">
        <w:tc>
          <w:tcPr>
            <w:tcW w:w="9639" w:type="dxa"/>
            <w:gridSpan w:val="2"/>
            <w:shd w:val="clear" w:color="auto" w:fill="F2F2F2" w:themeFill="background1" w:themeFillShade="F2"/>
          </w:tcPr>
          <w:p w14:paraId="263FF043" w14:textId="064ED9AD" w:rsidR="00E862CC" w:rsidRPr="00F01C04" w:rsidRDefault="002432A7" w:rsidP="00542F12">
            <w:pPr>
              <w:spacing w:line="276" w:lineRule="auto"/>
              <w:contextualSpacing/>
              <w:rPr>
                <w:b/>
                <w:bCs/>
                <w:sz w:val="28"/>
                <w:szCs w:val="28"/>
              </w:rPr>
            </w:pPr>
            <w:r w:rsidRPr="00F01C04">
              <w:rPr>
                <w:b/>
                <w:bCs/>
                <w:sz w:val="28"/>
                <w:szCs w:val="28"/>
              </w:rPr>
              <w:t xml:space="preserve">Theme </w:t>
            </w:r>
            <w:r>
              <w:rPr>
                <w:b/>
                <w:bCs/>
                <w:sz w:val="28"/>
                <w:szCs w:val="28"/>
              </w:rPr>
              <w:t>1</w:t>
            </w:r>
            <w:r w:rsidRPr="00F01C04">
              <w:rPr>
                <w:b/>
                <w:bCs/>
                <w:sz w:val="28"/>
                <w:szCs w:val="28"/>
              </w:rPr>
              <w:t xml:space="preserve">: </w:t>
            </w:r>
            <w:r>
              <w:rPr>
                <w:b/>
                <w:bCs/>
                <w:sz w:val="28"/>
                <w:szCs w:val="28"/>
              </w:rPr>
              <w:t xml:space="preserve">Building Peaceful and Thriving Communities </w:t>
            </w:r>
          </w:p>
        </w:tc>
      </w:tr>
      <w:tr w:rsidR="00E862CC" w:rsidRPr="00F01C04" w14:paraId="3CF3CF9B" w14:textId="77777777" w:rsidTr="006100FB">
        <w:tc>
          <w:tcPr>
            <w:tcW w:w="1843" w:type="dxa"/>
            <w:shd w:val="clear" w:color="auto" w:fill="auto"/>
          </w:tcPr>
          <w:p w14:paraId="4B5B6588" w14:textId="33F836C2" w:rsidR="00E862CC" w:rsidRPr="00F01C04" w:rsidRDefault="002432A7" w:rsidP="002432A7">
            <w:pPr>
              <w:spacing w:line="276" w:lineRule="auto"/>
              <w:contextualSpacing/>
              <w:rPr>
                <w:rFonts w:cstheme="minorHAnsi"/>
              </w:rPr>
            </w:pPr>
            <w:r>
              <w:rPr>
                <w:b/>
                <w:bCs/>
                <w:color w:val="2F5496" w:themeColor="accent1" w:themeShade="BF"/>
                <w:sz w:val="24"/>
                <w:szCs w:val="24"/>
              </w:rPr>
              <w:t xml:space="preserve">1.1 </w:t>
            </w:r>
            <w:r w:rsidRPr="002523C0">
              <w:rPr>
                <w:b/>
                <w:bCs/>
                <w:color w:val="2F5496" w:themeColor="accent1" w:themeShade="BF"/>
                <w:sz w:val="24"/>
                <w:szCs w:val="24"/>
              </w:rPr>
              <w:t>Co-designed Local P</w:t>
            </w:r>
            <w:r>
              <w:rPr>
                <w:b/>
                <w:bCs/>
                <w:color w:val="2F5496" w:themeColor="accent1" w:themeShade="BF"/>
                <w:sz w:val="24"/>
                <w:szCs w:val="24"/>
              </w:rPr>
              <w:t xml:space="preserve">EACE </w:t>
            </w:r>
            <w:r w:rsidRPr="002523C0">
              <w:rPr>
                <w:b/>
                <w:bCs/>
                <w:color w:val="2F5496" w:themeColor="accent1" w:themeShade="BF"/>
                <w:sz w:val="24"/>
                <w:szCs w:val="24"/>
              </w:rPr>
              <w:t>Action Plans (€90m)</w:t>
            </w:r>
          </w:p>
        </w:tc>
        <w:tc>
          <w:tcPr>
            <w:tcW w:w="7796" w:type="dxa"/>
            <w:shd w:val="clear" w:color="auto" w:fill="auto"/>
          </w:tcPr>
          <w:p w14:paraId="155A1C13" w14:textId="3A41C9E2" w:rsidR="00F33881" w:rsidRPr="00F01C04" w:rsidRDefault="002432A7" w:rsidP="00F33881">
            <w:pPr>
              <w:jc w:val="both"/>
              <w:rPr>
                <w:rFonts w:cstheme="minorHAnsi"/>
              </w:rPr>
            </w:pPr>
            <w:r>
              <w:rPr>
                <w:rFonts w:cstheme="minorHAnsi"/>
              </w:rPr>
              <w:t>This investment area will</w:t>
            </w:r>
            <w:r w:rsidRPr="005424B9">
              <w:rPr>
                <w:rFonts w:cstheme="minorHAnsi"/>
              </w:rPr>
              <w:t xml:space="preserve"> </w:t>
            </w:r>
            <w:r>
              <w:rPr>
                <w:rFonts w:cstheme="minorHAnsi"/>
              </w:rPr>
              <w:t xml:space="preserve">see the creation of Local PEACE PLUS Partnerships across all parts of the Programme area, which will develop Co-designed </w:t>
            </w:r>
            <w:r w:rsidR="003204C6">
              <w:rPr>
                <w:rFonts w:cstheme="minorHAnsi"/>
              </w:rPr>
              <w:t>PEACE</w:t>
            </w:r>
            <w:r>
              <w:rPr>
                <w:rFonts w:cstheme="minorHAnsi"/>
              </w:rPr>
              <w:t xml:space="preserve"> Action Plans. These plans must be co-designed with the local community, a process which the SEUPB will support. This structure will </w:t>
            </w:r>
            <w:r w:rsidRPr="005424B9">
              <w:rPr>
                <w:rFonts w:cstheme="minorHAnsi"/>
              </w:rPr>
              <w:t>enable and empower council led local community partnerships, to sel</w:t>
            </w:r>
            <w:r>
              <w:rPr>
                <w:rFonts w:cstheme="minorHAnsi"/>
              </w:rPr>
              <w:t>f-determine</w:t>
            </w:r>
            <w:r w:rsidRPr="005424B9">
              <w:rPr>
                <w:rFonts w:cstheme="minorHAnsi"/>
              </w:rPr>
              <w:t xml:space="preserve"> and deliver priority projects on a cross community basis.</w:t>
            </w:r>
            <w:r>
              <w:rPr>
                <w:rFonts w:cstheme="minorHAnsi"/>
              </w:rPr>
              <w:t xml:space="preserve"> It will provide opportunities to realise regeneration and development projects, including those of </w:t>
            </w:r>
            <w:r w:rsidR="00D55186">
              <w:rPr>
                <w:rFonts w:cstheme="minorHAnsi"/>
              </w:rPr>
              <w:t xml:space="preserve">a </w:t>
            </w:r>
            <w:r w:rsidR="00C3529B">
              <w:rPr>
                <w:rFonts w:cstheme="minorHAnsi"/>
              </w:rPr>
              <w:t xml:space="preserve">tourism and heritage nature. </w:t>
            </w:r>
            <w:r>
              <w:rPr>
                <w:rFonts w:cstheme="minorHAnsi"/>
              </w:rPr>
              <w:t xml:space="preserve"> </w:t>
            </w:r>
          </w:p>
        </w:tc>
      </w:tr>
      <w:tr w:rsidR="00A30B20" w:rsidRPr="00F01C04" w14:paraId="17443A39" w14:textId="77777777" w:rsidTr="006100FB">
        <w:tc>
          <w:tcPr>
            <w:tcW w:w="1843" w:type="dxa"/>
            <w:shd w:val="clear" w:color="auto" w:fill="auto"/>
          </w:tcPr>
          <w:p w14:paraId="0676896E" w14:textId="1728BE62" w:rsidR="00A30B20" w:rsidRDefault="00A30B20" w:rsidP="002432A7">
            <w:pPr>
              <w:spacing w:line="276" w:lineRule="auto"/>
              <w:contextualSpacing/>
              <w:rPr>
                <w:b/>
                <w:bCs/>
                <w:color w:val="2F5496" w:themeColor="accent1" w:themeShade="BF"/>
                <w:sz w:val="24"/>
                <w:szCs w:val="24"/>
              </w:rPr>
            </w:pPr>
            <w:r>
              <w:rPr>
                <w:b/>
                <w:bCs/>
                <w:color w:val="2F5496" w:themeColor="accent1" w:themeShade="BF"/>
                <w:sz w:val="24"/>
                <w:szCs w:val="24"/>
              </w:rPr>
              <w:t>1.4 Re-imaging Communities</w:t>
            </w:r>
            <w:r w:rsidRPr="002523C0">
              <w:rPr>
                <w:b/>
                <w:bCs/>
                <w:color w:val="2F5496" w:themeColor="accent1" w:themeShade="BF"/>
                <w:sz w:val="24"/>
                <w:szCs w:val="24"/>
              </w:rPr>
              <w:t xml:space="preserve"> (€</w:t>
            </w:r>
            <w:r>
              <w:rPr>
                <w:b/>
                <w:bCs/>
                <w:color w:val="2F5496" w:themeColor="accent1" w:themeShade="BF"/>
                <w:sz w:val="24"/>
                <w:szCs w:val="24"/>
              </w:rPr>
              <w:t>6</w:t>
            </w:r>
            <w:r w:rsidRPr="002523C0">
              <w:rPr>
                <w:b/>
                <w:bCs/>
                <w:color w:val="2F5496" w:themeColor="accent1" w:themeShade="BF"/>
                <w:sz w:val="24"/>
                <w:szCs w:val="24"/>
              </w:rPr>
              <w:t>0m)</w:t>
            </w:r>
          </w:p>
        </w:tc>
        <w:tc>
          <w:tcPr>
            <w:tcW w:w="7796" w:type="dxa"/>
            <w:shd w:val="clear" w:color="auto" w:fill="auto"/>
          </w:tcPr>
          <w:p w14:paraId="0C82F6D6" w14:textId="30141E77" w:rsidR="00E67932" w:rsidRDefault="00E67932" w:rsidP="00F33881">
            <w:pPr>
              <w:jc w:val="both"/>
              <w:rPr>
                <w:rFonts w:cstheme="minorHAnsi"/>
              </w:rPr>
            </w:pPr>
            <w:r w:rsidRPr="009225F9">
              <w:rPr>
                <w:rFonts w:cstheme="minorHAnsi"/>
              </w:rPr>
              <w:t xml:space="preserve">This </w:t>
            </w:r>
            <w:r>
              <w:rPr>
                <w:rFonts w:cstheme="minorHAnsi"/>
              </w:rPr>
              <w:t>investment area</w:t>
            </w:r>
            <w:r w:rsidRPr="009225F9">
              <w:rPr>
                <w:rFonts w:cstheme="minorHAnsi"/>
              </w:rPr>
              <w:t xml:space="preserve"> will offer the potential to develop new and transform existing spaces into shared environments for </w:t>
            </w:r>
            <w:r>
              <w:rPr>
                <w:rFonts w:cstheme="minorHAnsi"/>
              </w:rPr>
              <w:t xml:space="preserve">use by all communities. It will provide Statutory, Community &amp; Voluntary Sector organisations with the opportunity to develop and manage innovative spaces, spanning a range of thematic areas including </w:t>
            </w:r>
            <w:r w:rsidR="003204C6">
              <w:rPr>
                <w:rFonts w:cstheme="minorHAnsi"/>
              </w:rPr>
              <w:t>‘</w:t>
            </w:r>
            <w:r w:rsidR="00C75DF8">
              <w:rPr>
                <w:rFonts w:cstheme="minorHAnsi"/>
              </w:rPr>
              <w:t>t</w:t>
            </w:r>
            <w:r>
              <w:rPr>
                <w:rFonts w:cstheme="minorHAnsi"/>
              </w:rPr>
              <w:t xml:space="preserve">ourism and </w:t>
            </w:r>
            <w:r w:rsidR="00C75DF8">
              <w:rPr>
                <w:rFonts w:cstheme="minorHAnsi"/>
              </w:rPr>
              <w:t>h</w:t>
            </w:r>
            <w:r>
              <w:rPr>
                <w:rFonts w:cstheme="minorHAnsi"/>
              </w:rPr>
              <w:t>eritage</w:t>
            </w:r>
            <w:r w:rsidR="003204C6">
              <w:rPr>
                <w:rFonts w:cstheme="minorHAnsi"/>
              </w:rPr>
              <w:t>’</w:t>
            </w:r>
            <w:r>
              <w:rPr>
                <w:rFonts w:cstheme="minorHAnsi"/>
              </w:rPr>
              <w:t>. These spaces will be constructed and operated sustainability.</w:t>
            </w:r>
          </w:p>
        </w:tc>
      </w:tr>
      <w:tr w:rsidR="00A30B20" w:rsidRPr="00F01C04" w14:paraId="5FCBA594" w14:textId="77777777" w:rsidTr="006100FB">
        <w:tc>
          <w:tcPr>
            <w:tcW w:w="9639" w:type="dxa"/>
            <w:gridSpan w:val="2"/>
            <w:shd w:val="clear" w:color="auto" w:fill="F2F2F2" w:themeFill="background1" w:themeFillShade="F2"/>
          </w:tcPr>
          <w:p w14:paraId="2897BA1D" w14:textId="3A90637C" w:rsidR="00A30B20" w:rsidRPr="00A30B20" w:rsidRDefault="00E67932" w:rsidP="00E67932">
            <w:pPr>
              <w:spacing w:line="276" w:lineRule="auto"/>
              <w:jc w:val="center"/>
              <w:rPr>
                <w:sz w:val="32"/>
                <w:szCs w:val="32"/>
              </w:rPr>
            </w:pPr>
            <w:r w:rsidRPr="00E34BEA">
              <w:rPr>
                <w:b/>
                <w:bCs/>
                <w:sz w:val="32"/>
                <w:szCs w:val="32"/>
              </w:rPr>
              <w:t xml:space="preserve">Theme </w:t>
            </w:r>
            <w:r>
              <w:rPr>
                <w:b/>
                <w:bCs/>
                <w:sz w:val="32"/>
                <w:szCs w:val="32"/>
              </w:rPr>
              <w:t>2</w:t>
            </w:r>
            <w:r w:rsidRPr="00E34BEA">
              <w:rPr>
                <w:b/>
                <w:bCs/>
                <w:sz w:val="32"/>
                <w:szCs w:val="32"/>
              </w:rPr>
              <w:t xml:space="preserve">: </w:t>
            </w:r>
            <w:r>
              <w:rPr>
                <w:b/>
                <w:bCs/>
                <w:sz w:val="32"/>
                <w:szCs w:val="32"/>
              </w:rPr>
              <w:t>Delivering Economic Regeneration and Transformation</w:t>
            </w:r>
          </w:p>
        </w:tc>
      </w:tr>
      <w:tr w:rsidR="00A30B20" w:rsidRPr="00F01C04" w14:paraId="7F29BD3A" w14:textId="77777777" w:rsidTr="006100FB">
        <w:tc>
          <w:tcPr>
            <w:tcW w:w="1843" w:type="dxa"/>
            <w:shd w:val="clear" w:color="auto" w:fill="auto"/>
          </w:tcPr>
          <w:p w14:paraId="39F98C86" w14:textId="77777777" w:rsidR="00E67932" w:rsidRPr="00F01C04" w:rsidRDefault="00E67932" w:rsidP="00E67932">
            <w:pPr>
              <w:spacing w:line="276" w:lineRule="auto"/>
              <w:rPr>
                <w:b/>
                <w:bCs/>
                <w:color w:val="2F5496" w:themeColor="accent1" w:themeShade="BF"/>
                <w:sz w:val="24"/>
                <w:szCs w:val="24"/>
              </w:rPr>
            </w:pPr>
            <w:r w:rsidRPr="00F01C04">
              <w:rPr>
                <w:b/>
                <w:bCs/>
                <w:color w:val="2F5496" w:themeColor="accent1" w:themeShade="BF"/>
                <w:sz w:val="24"/>
                <w:szCs w:val="24"/>
              </w:rPr>
              <w:t xml:space="preserve">2.1 SME Development and Transition  </w:t>
            </w:r>
          </w:p>
          <w:p w14:paraId="0115CCB4" w14:textId="3590BC5C" w:rsidR="00A30B20" w:rsidRPr="00F01C04" w:rsidRDefault="00E67932" w:rsidP="00E67932">
            <w:pPr>
              <w:spacing w:line="276" w:lineRule="auto"/>
              <w:contextualSpacing/>
              <w:rPr>
                <w:b/>
                <w:bCs/>
                <w:color w:val="2F5496" w:themeColor="accent1" w:themeShade="BF"/>
                <w:sz w:val="24"/>
                <w:szCs w:val="24"/>
              </w:rPr>
            </w:pPr>
            <w:r w:rsidRPr="00F01C04">
              <w:rPr>
                <w:b/>
                <w:bCs/>
                <w:color w:val="2F5496" w:themeColor="accent1" w:themeShade="BF"/>
                <w:sz w:val="24"/>
                <w:szCs w:val="24"/>
              </w:rPr>
              <w:t>(€20m)</w:t>
            </w:r>
          </w:p>
        </w:tc>
        <w:tc>
          <w:tcPr>
            <w:tcW w:w="7796" w:type="dxa"/>
            <w:shd w:val="clear" w:color="auto" w:fill="auto"/>
          </w:tcPr>
          <w:p w14:paraId="52B76A7B" w14:textId="77777777" w:rsidR="00724ECF" w:rsidRDefault="00E67932" w:rsidP="0054381E">
            <w:pPr>
              <w:shd w:val="clear" w:color="auto" w:fill="FFFFFF" w:themeFill="background1"/>
              <w:jc w:val="both"/>
            </w:pPr>
            <w:r w:rsidRPr="00F01C04">
              <w:rPr>
                <w:bCs/>
              </w:rPr>
              <w:t xml:space="preserve">This investment </w:t>
            </w:r>
            <w:r w:rsidR="000D56A5">
              <w:rPr>
                <w:bCs/>
              </w:rPr>
              <w:t xml:space="preserve">area </w:t>
            </w:r>
            <w:r w:rsidRPr="00F01C04">
              <w:rPr>
                <w:bCs/>
              </w:rPr>
              <w:t xml:space="preserve">will </w:t>
            </w:r>
            <w:r w:rsidRPr="00F01C04">
              <w:t xml:space="preserve">support the SME base, which is an important component of our economic landscape, to become more profitable and competitive. Associated projects will enable SMEs to operate at scale through cross border collaboration; engage in commercially led innovation; </w:t>
            </w:r>
            <w:r>
              <w:t xml:space="preserve">and </w:t>
            </w:r>
            <w:r w:rsidRPr="00F01C04">
              <w:t>effectively transition to engage in the low carbon, circular economy</w:t>
            </w:r>
            <w:r>
              <w:t>. This will</w:t>
            </w:r>
            <w:r w:rsidRPr="00F01C04">
              <w:t xml:space="preserve"> strengthen the Programme area SME base for maximum engagement in a post Brexit, post COVID-19 economic landscape.</w:t>
            </w:r>
            <w:r>
              <w:t xml:space="preserve"> </w:t>
            </w:r>
          </w:p>
          <w:p w14:paraId="0AC01060" w14:textId="77777777" w:rsidR="00724ECF" w:rsidRDefault="00724ECF" w:rsidP="0054381E">
            <w:pPr>
              <w:shd w:val="clear" w:color="auto" w:fill="FFFFFF" w:themeFill="background1"/>
              <w:jc w:val="both"/>
            </w:pPr>
          </w:p>
          <w:p w14:paraId="3C5AB6F6" w14:textId="0EE19B24" w:rsidR="00E67932" w:rsidRPr="006100FB" w:rsidRDefault="00942A83" w:rsidP="00724ECF">
            <w:pPr>
              <w:shd w:val="clear" w:color="auto" w:fill="FFFFFF" w:themeFill="background1"/>
              <w:jc w:val="both"/>
            </w:pPr>
            <w:r>
              <w:t xml:space="preserve">This investment area can </w:t>
            </w:r>
            <w:r w:rsidR="00724ECF">
              <w:t xml:space="preserve">incorporate specific supports for the Tourism Sector. </w:t>
            </w:r>
            <w:r w:rsidR="000A7A01">
              <w:t xml:space="preserve">As with other sectors, this </w:t>
            </w:r>
            <w:r w:rsidR="00724ECF">
              <w:t xml:space="preserve">will include product diversification and the implementation of new service delivery models for successful adaptation to new local area, national and global market conditions. </w:t>
            </w:r>
          </w:p>
        </w:tc>
      </w:tr>
      <w:tr w:rsidR="00E67932" w:rsidRPr="00F01C04" w14:paraId="17A93282" w14:textId="77777777" w:rsidTr="006100FB">
        <w:tc>
          <w:tcPr>
            <w:tcW w:w="1843" w:type="dxa"/>
            <w:shd w:val="clear" w:color="auto" w:fill="auto"/>
          </w:tcPr>
          <w:p w14:paraId="1BA8537F" w14:textId="45E9E398" w:rsidR="00E67932" w:rsidRPr="00F01C04" w:rsidRDefault="00E67932" w:rsidP="002432A7">
            <w:pPr>
              <w:spacing w:line="276" w:lineRule="auto"/>
              <w:contextualSpacing/>
              <w:rPr>
                <w:b/>
                <w:bCs/>
                <w:color w:val="2F5496" w:themeColor="accent1" w:themeShade="BF"/>
                <w:sz w:val="24"/>
                <w:szCs w:val="24"/>
              </w:rPr>
            </w:pPr>
            <w:r w:rsidRPr="00F01C04">
              <w:rPr>
                <w:b/>
                <w:bCs/>
                <w:color w:val="2F5496" w:themeColor="accent1" w:themeShade="BF"/>
                <w:sz w:val="24"/>
                <w:szCs w:val="24"/>
              </w:rPr>
              <w:t>2.3 Regional Skills Development Programme (€35m)</w:t>
            </w:r>
          </w:p>
        </w:tc>
        <w:tc>
          <w:tcPr>
            <w:tcW w:w="7796" w:type="dxa"/>
            <w:shd w:val="clear" w:color="auto" w:fill="auto"/>
          </w:tcPr>
          <w:p w14:paraId="2397F546" w14:textId="00097ABD" w:rsidR="00E67932" w:rsidRPr="006100FB" w:rsidRDefault="00E67932" w:rsidP="00F33881">
            <w:pPr>
              <w:jc w:val="both"/>
            </w:pPr>
            <w:r w:rsidRPr="00F01C04">
              <w:rPr>
                <w:rFonts w:cstheme="minorHAnsi"/>
              </w:rPr>
              <w:t xml:space="preserve">This investment area will </w:t>
            </w:r>
            <w:r w:rsidRPr="00F01C04">
              <w:t xml:space="preserve">support area-based approaches, designed to address evidenced skills gaps. It will enable </w:t>
            </w:r>
            <w:r w:rsidR="00D44C74">
              <w:t>businesses</w:t>
            </w:r>
            <w:r w:rsidRPr="00F01C04">
              <w:t xml:space="preserve"> to work in partnership with education and training organisations to provide skilling and upskilling opportunities in sectors with existing and emerging skills </w:t>
            </w:r>
            <w:r>
              <w:t>requirements</w:t>
            </w:r>
            <w:r w:rsidRPr="00F01C04">
              <w:t>.  As such, it will contribute to the further development of the workforce</w:t>
            </w:r>
            <w:r>
              <w:t>,</w:t>
            </w:r>
            <w:r w:rsidRPr="00F01C04">
              <w:t xml:space="preserve"> required to ensure </w:t>
            </w:r>
            <w:r w:rsidR="000D56A5">
              <w:t>economic</w:t>
            </w:r>
            <w:r w:rsidRPr="00F01C04">
              <w:t xml:space="preserve"> competitive</w:t>
            </w:r>
            <w:r w:rsidR="000D56A5">
              <w:t>ness</w:t>
            </w:r>
            <w:r w:rsidRPr="00F01C04">
              <w:t xml:space="preserve"> within an increasingly global economy.</w:t>
            </w:r>
            <w:r>
              <w:t xml:space="preserve"> This will </w:t>
            </w:r>
            <w:r w:rsidR="00724ECF">
              <w:t>incorporate the</w:t>
            </w:r>
            <w:r>
              <w:t xml:space="preserve"> Tourism Sector. </w:t>
            </w:r>
          </w:p>
        </w:tc>
      </w:tr>
      <w:tr w:rsidR="00E862CC" w:rsidRPr="00F01C04" w14:paraId="235D549B" w14:textId="77777777" w:rsidTr="006100FB">
        <w:tc>
          <w:tcPr>
            <w:tcW w:w="9639" w:type="dxa"/>
            <w:gridSpan w:val="2"/>
            <w:shd w:val="clear" w:color="auto" w:fill="F2F2F2" w:themeFill="background1" w:themeFillShade="F2"/>
          </w:tcPr>
          <w:p w14:paraId="0896FC65" w14:textId="4941AF29" w:rsidR="00E862CC" w:rsidRPr="00F01C04" w:rsidRDefault="00E862CC" w:rsidP="00192B47">
            <w:pPr>
              <w:spacing w:line="276" w:lineRule="auto"/>
              <w:contextualSpacing/>
              <w:jc w:val="both"/>
              <w:rPr>
                <w:rFonts w:cstheme="minorHAnsi"/>
              </w:rPr>
            </w:pPr>
            <w:r w:rsidRPr="00F01C04">
              <w:rPr>
                <w:b/>
                <w:bCs/>
                <w:sz w:val="28"/>
                <w:szCs w:val="28"/>
              </w:rPr>
              <w:t>Theme 4: Healthy and Inclusive Communities</w:t>
            </w:r>
          </w:p>
        </w:tc>
      </w:tr>
      <w:tr w:rsidR="00E862CC" w:rsidRPr="00F01C04" w14:paraId="500D4F39" w14:textId="77777777" w:rsidTr="006100FB">
        <w:tc>
          <w:tcPr>
            <w:tcW w:w="1843" w:type="dxa"/>
            <w:shd w:val="clear" w:color="auto" w:fill="auto"/>
          </w:tcPr>
          <w:p w14:paraId="00238678" w14:textId="00E5B637" w:rsidR="00E862CC" w:rsidRPr="00F01C04" w:rsidRDefault="00E862CC" w:rsidP="00542F12">
            <w:pPr>
              <w:spacing w:line="276" w:lineRule="auto"/>
              <w:rPr>
                <w:b/>
                <w:bCs/>
                <w:color w:val="2F5496" w:themeColor="accent1" w:themeShade="BF"/>
                <w:sz w:val="24"/>
                <w:szCs w:val="24"/>
              </w:rPr>
            </w:pPr>
            <w:r w:rsidRPr="00F01C04">
              <w:rPr>
                <w:b/>
                <w:bCs/>
                <w:color w:val="2F5496" w:themeColor="accent1" w:themeShade="BF"/>
                <w:sz w:val="24"/>
                <w:szCs w:val="24"/>
              </w:rPr>
              <w:t xml:space="preserve">4.2 Rural Regeneration and Social </w:t>
            </w:r>
            <w:r w:rsidR="00D44C74">
              <w:rPr>
                <w:b/>
                <w:bCs/>
                <w:color w:val="2F5496" w:themeColor="accent1" w:themeShade="BF"/>
                <w:sz w:val="24"/>
                <w:szCs w:val="24"/>
              </w:rPr>
              <w:t>Inclusion (€</w:t>
            </w:r>
            <w:r w:rsidRPr="00F01C04">
              <w:rPr>
                <w:b/>
                <w:bCs/>
                <w:color w:val="2F5496" w:themeColor="accent1" w:themeShade="BF"/>
                <w:sz w:val="24"/>
                <w:szCs w:val="24"/>
              </w:rPr>
              <w:t>50m)</w:t>
            </w:r>
          </w:p>
        </w:tc>
        <w:tc>
          <w:tcPr>
            <w:tcW w:w="7796" w:type="dxa"/>
            <w:shd w:val="clear" w:color="auto" w:fill="auto"/>
          </w:tcPr>
          <w:p w14:paraId="62DC23E2" w14:textId="0AFBFAE8" w:rsidR="00F33881" w:rsidRDefault="00E862CC" w:rsidP="00663641">
            <w:pPr>
              <w:contextualSpacing/>
              <w:jc w:val="both"/>
              <w:rPr>
                <w:rFonts w:cstheme="minorHAnsi"/>
              </w:rPr>
            </w:pPr>
            <w:r w:rsidRPr="00F01C04">
              <w:rPr>
                <w:rFonts w:cstheme="minorHAnsi"/>
              </w:rPr>
              <w:t xml:space="preserve">This investment area will </w:t>
            </w:r>
            <w:r w:rsidR="0037497C" w:rsidRPr="00F01C04">
              <w:rPr>
                <w:rFonts w:cstheme="minorHAnsi"/>
              </w:rPr>
              <w:t xml:space="preserve">incorporate a </w:t>
            </w:r>
            <w:r w:rsidR="00F33881" w:rsidRPr="00F01C04">
              <w:rPr>
                <w:rFonts w:cstheme="minorHAnsi"/>
              </w:rPr>
              <w:t>strengths-based</w:t>
            </w:r>
            <w:r w:rsidR="0037497C" w:rsidRPr="00F01C04">
              <w:rPr>
                <w:rFonts w:cstheme="minorHAnsi"/>
              </w:rPr>
              <w:t xml:space="preserve"> approach to contribute to healthy and thriving rural communities. The Programme will support</w:t>
            </w:r>
            <w:r w:rsidR="00F33881" w:rsidRPr="00F01C04">
              <w:rPr>
                <w:rFonts w:cstheme="minorHAnsi"/>
              </w:rPr>
              <w:t xml:space="preserve"> </w:t>
            </w:r>
            <w:r w:rsidR="00C3529B">
              <w:rPr>
                <w:rFonts w:cstheme="minorHAnsi"/>
              </w:rPr>
              <w:t>the development of green infrastructure to support tourism and enterprise within rural areas</w:t>
            </w:r>
            <w:r w:rsidR="000D56A5">
              <w:rPr>
                <w:rFonts w:cstheme="minorHAnsi"/>
              </w:rPr>
              <w:t>,</w:t>
            </w:r>
            <w:r w:rsidR="00C3529B">
              <w:rPr>
                <w:rFonts w:cstheme="minorHAnsi"/>
              </w:rPr>
              <w:t xml:space="preserve"> including on a cross border basis</w:t>
            </w:r>
            <w:r w:rsidR="000A7A01">
              <w:rPr>
                <w:rFonts w:cstheme="minorHAnsi"/>
              </w:rPr>
              <w:t>.</w:t>
            </w:r>
          </w:p>
          <w:p w14:paraId="6DEA495C" w14:textId="5C866CCD" w:rsidR="00C3529B" w:rsidRPr="00F01C04" w:rsidRDefault="00C3529B" w:rsidP="00663641">
            <w:pPr>
              <w:contextualSpacing/>
              <w:jc w:val="both"/>
              <w:rPr>
                <w:rFonts w:cstheme="minorHAnsi"/>
              </w:rPr>
            </w:pPr>
          </w:p>
        </w:tc>
      </w:tr>
      <w:tr w:rsidR="006A3557" w:rsidRPr="00F01C04" w14:paraId="234FC87C" w14:textId="77777777" w:rsidTr="006100FB">
        <w:tc>
          <w:tcPr>
            <w:tcW w:w="9639" w:type="dxa"/>
            <w:gridSpan w:val="2"/>
            <w:shd w:val="clear" w:color="auto" w:fill="F2F2F2" w:themeFill="background1" w:themeFillShade="F2"/>
          </w:tcPr>
          <w:p w14:paraId="440F8AE2" w14:textId="00792D52" w:rsidR="006A3557" w:rsidRPr="00F01C04" w:rsidRDefault="006A3557" w:rsidP="00192B47">
            <w:pPr>
              <w:spacing w:line="276" w:lineRule="auto"/>
              <w:contextualSpacing/>
              <w:jc w:val="both"/>
              <w:rPr>
                <w:rFonts w:cstheme="minorHAnsi"/>
              </w:rPr>
            </w:pPr>
            <w:r w:rsidRPr="00F01C04">
              <w:rPr>
                <w:b/>
                <w:bCs/>
                <w:sz w:val="28"/>
                <w:szCs w:val="28"/>
              </w:rPr>
              <w:t xml:space="preserve">Theme 5: Building a Sustainable </w:t>
            </w:r>
            <w:r w:rsidR="00B4025D" w:rsidRPr="00F01C04">
              <w:rPr>
                <w:b/>
                <w:bCs/>
                <w:sz w:val="28"/>
                <w:szCs w:val="28"/>
              </w:rPr>
              <w:t xml:space="preserve">and Better Connected </w:t>
            </w:r>
            <w:r w:rsidRPr="00F01C04">
              <w:rPr>
                <w:b/>
                <w:bCs/>
                <w:sz w:val="28"/>
                <w:szCs w:val="28"/>
              </w:rPr>
              <w:t xml:space="preserve">Future </w:t>
            </w:r>
          </w:p>
        </w:tc>
      </w:tr>
      <w:tr w:rsidR="00B4025D" w:rsidRPr="00F01C04" w14:paraId="3DBC508A" w14:textId="77777777" w:rsidTr="006100FB">
        <w:tc>
          <w:tcPr>
            <w:tcW w:w="1843" w:type="dxa"/>
            <w:shd w:val="clear" w:color="auto" w:fill="auto"/>
          </w:tcPr>
          <w:p w14:paraId="3A59F311" w14:textId="08EA955F" w:rsidR="00B4025D" w:rsidRPr="00F01C04" w:rsidRDefault="00B4025D" w:rsidP="00542F12">
            <w:pPr>
              <w:spacing w:line="276" w:lineRule="auto"/>
              <w:rPr>
                <w:b/>
                <w:bCs/>
                <w:color w:val="2F5496" w:themeColor="accent1" w:themeShade="BF"/>
                <w:sz w:val="24"/>
                <w:szCs w:val="24"/>
              </w:rPr>
            </w:pPr>
            <w:r w:rsidRPr="00F01C04">
              <w:rPr>
                <w:b/>
                <w:bCs/>
                <w:color w:val="2F5496" w:themeColor="accent1" w:themeShade="BF"/>
                <w:sz w:val="24"/>
                <w:szCs w:val="24"/>
              </w:rPr>
              <w:t xml:space="preserve">5.6 </w:t>
            </w:r>
            <w:r w:rsidR="00F903E1">
              <w:rPr>
                <w:b/>
                <w:bCs/>
                <w:color w:val="2F5496" w:themeColor="accent1" w:themeShade="BF"/>
                <w:sz w:val="24"/>
                <w:szCs w:val="24"/>
              </w:rPr>
              <w:t xml:space="preserve">Enhanced </w:t>
            </w:r>
            <w:r w:rsidRPr="00F01C04">
              <w:rPr>
                <w:b/>
                <w:bCs/>
                <w:color w:val="2F5496" w:themeColor="accent1" w:themeShade="BF"/>
                <w:sz w:val="24"/>
                <w:szCs w:val="24"/>
              </w:rPr>
              <w:t xml:space="preserve">Sustainable </w:t>
            </w:r>
            <w:r w:rsidR="00F903E1">
              <w:rPr>
                <w:b/>
                <w:bCs/>
                <w:color w:val="2F5496" w:themeColor="accent1" w:themeShade="BF"/>
                <w:sz w:val="24"/>
                <w:szCs w:val="24"/>
              </w:rPr>
              <w:t>Travel Connectivity</w:t>
            </w:r>
            <w:r w:rsidRPr="00F01C04">
              <w:rPr>
                <w:b/>
                <w:bCs/>
                <w:color w:val="2F5496" w:themeColor="accent1" w:themeShade="BF"/>
                <w:sz w:val="24"/>
                <w:szCs w:val="24"/>
              </w:rPr>
              <w:t xml:space="preserve"> </w:t>
            </w:r>
            <w:r w:rsidRPr="00467F4F">
              <w:rPr>
                <w:b/>
                <w:bCs/>
                <w:color w:val="2F5496" w:themeColor="accent1" w:themeShade="BF"/>
                <w:sz w:val="24"/>
                <w:szCs w:val="24"/>
              </w:rPr>
              <w:t>(€</w:t>
            </w:r>
            <w:r w:rsidR="00467F4F">
              <w:rPr>
                <w:b/>
                <w:bCs/>
                <w:color w:val="2F5496" w:themeColor="accent1" w:themeShade="BF"/>
                <w:sz w:val="24"/>
                <w:szCs w:val="24"/>
              </w:rPr>
              <w:t>165</w:t>
            </w:r>
            <w:r w:rsidRPr="00467F4F">
              <w:rPr>
                <w:b/>
                <w:bCs/>
                <w:color w:val="2F5496" w:themeColor="accent1" w:themeShade="BF"/>
                <w:sz w:val="24"/>
                <w:szCs w:val="24"/>
              </w:rPr>
              <w:t>m)</w:t>
            </w:r>
          </w:p>
        </w:tc>
        <w:tc>
          <w:tcPr>
            <w:tcW w:w="7796" w:type="dxa"/>
            <w:shd w:val="clear" w:color="auto" w:fill="auto"/>
          </w:tcPr>
          <w:p w14:paraId="27CEA5D3" w14:textId="4A3E1BAB" w:rsidR="00680F18" w:rsidRPr="00F01C04" w:rsidRDefault="00F33881" w:rsidP="00F5496D">
            <w:pPr>
              <w:contextualSpacing/>
              <w:jc w:val="both"/>
              <w:rPr>
                <w:rFonts w:cstheme="minorHAnsi"/>
              </w:rPr>
            </w:pPr>
            <w:r w:rsidRPr="00F01C04">
              <w:rPr>
                <w:rFonts w:cstheme="minorHAnsi"/>
              </w:rPr>
              <w:t xml:space="preserve">Connectivity is essential </w:t>
            </w:r>
            <w:r w:rsidR="00ED6B95" w:rsidRPr="00F01C04">
              <w:rPr>
                <w:rFonts w:cstheme="minorHAnsi"/>
              </w:rPr>
              <w:t>for</w:t>
            </w:r>
            <w:r w:rsidRPr="00F01C04">
              <w:rPr>
                <w:rFonts w:cstheme="minorHAnsi"/>
              </w:rPr>
              <w:t xml:space="preserve"> commercial growth. </w:t>
            </w:r>
            <w:r w:rsidR="00F903E1">
              <w:rPr>
                <w:rFonts w:cstheme="minorHAnsi"/>
              </w:rPr>
              <w:t>This investment</w:t>
            </w:r>
            <w:r w:rsidRPr="00F01C04">
              <w:rPr>
                <w:rFonts w:cstheme="minorHAnsi"/>
              </w:rPr>
              <w:t xml:space="preserve"> will make a significant contribution to enhancing the rail network between key urban centres</w:t>
            </w:r>
            <w:r w:rsidR="00680F18" w:rsidRPr="00F01C04">
              <w:rPr>
                <w:rFonts w:cstheme="minorHAnsi"/>
              </w:rPr>
              <w:t xml:space="preserve"> along the economic corridor between Belfast and Dublin</w:t>
            </w:r>
            <w:r w:rsidRPr="00F01C04">
              <w:rPr>
                <w:rFonts w:cstheme="minorHAnsi"/>
              </w:rPr>
              <w:t xml:space="preserve">. </w:t>
            </w:r>
            <w:r w:rsidR="00ED6B95" w:rsidRPr="00F01C04">
              <w:rPr>
                <w:rFonts w:cstheme="minorHAnsi"/>
              </w:rPr>
              <w:t xml:space="preserve">This </w:t>
            </w:r>
            <w:r w:rsidR="00C3529B">
              <w:rPr>
                <w:rFonts w:cstheme="minorHAnsi"/>
              </w:rPr>
              <w:t xml:space="preserve">will provide enhanced infrastructure to </w:t>
            </w:r>
            <w:r w:rsidR="0054381E">
              <w:rPr>
                <w:rFonts w:cstheme="minorHAnsi"/>
              </w:rPr>
              <w:t>service</w:t>
            </w:r>
            <w:r w:rsidR="00C3529B">
              <w:rPr>
                <w:rFonts w:cstheme="minorHAnsi"/>
              </w:rPr>
              <w:t xml:space="preserve"> </w:t>
            </w:r>
            <w:r w:rsidR="0054381E">
              <w:rPr>
                <w:rFonts w:cstheme="minorHAnsi"/>
              </w:rPr>
              <w:t>international visitors</w:t>
            </w:r>
            <w:r w:rsidR="00C3529B">
              <w:rPr>
                <w:rFonts w:cstheme="minorHAnsi"/>
              </w:rPr>
              <w:t xml:space="preserve">, in addition to </w:t>
            </w:r>
            <w:r w:rsidR="0054381E">
              <w:rPr>
                <w:rFonts w:cstheme="minorHAnsi"/>
              </w:rPr>
              <w:t xml:space="preserve">internal </w:t>
            </w:r>
            <w:r w:rsidR="00C3529B">
              <w:rPr>
                <w:rFonts w:cstheme="minorHAnsi"/>
              </w:rPr>
              <w:t xml:space="preserve">tourism activity. </w:t>
            </w:r>
            <w:r w:rsidR="00ED6B95" w:rsidRPr="00F01C04">
              <w:rPr>
                <w:rFonts w:cstheme="minorHAnsi"/>
              </w:rPr>
              <w:t xml:space="preserve"> </w:t>
            </w:r>
            <w:r w:rsidR="00680F18" w:rsidRPr="00F01C04">
              <w:rPr>
                <w:rFonts w:cstheme="minorHAnsi"/>
              </w:rPr>
              <w:t xml:space="preserve"> </w:t>
            </w:r>
          </w:p>
        </w:tc>
      </w:tr>
    </w:tbl>
    <w:p w14:paraId="1971937C" w14:textId="77777777" w:rsidR="00AA4040" w:rsidRDefault="00AA4040" w:rsidP="00D117E8"/>
    <w:p w14:paraId="1D3C4D5C" w14:textId="2038759F" w:rsidR="00AA4040" w:rsidRDefault="00AA4040" w:rsidP="00D117E8"/>
    <w:sectPr w:rsidR="00AA40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3757" w14:textId="77777777" w:rsidR="004108E8" w:rsidRDefault="004108E8" w:rsidP="00893B5B">
      <w:pPr>
        <w:spacing w:after="0" w:line="240" w:lineRule="auto"/>
      </w:pPr>
      <w:r>
        <w:separator/>
      </w:r>
    </w:p>
  </w:endnote>
  <w:endnote w:type="continuationSeparator" w:id="0">
    <w:p w14:paraId="6D9E224B" w14:textId="77777777" w:rsidR="004108E8" w:rsidRDefault="004108E8" w:rsidP="0089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E80C2" w14:textId="77777777" w:rsidR="004108E8" w:rsidRDefault="004108E8" w:rsidP="00893B5B">
      <w:pPr>
        <w:spacing w:after="0" w:line="240" w:lineRule="auto"/>
      </w:pPr>
      <w:r>
        <w:separator/>
      </w:r>
    </w:p>
  </w:footnote>
  <w:footnote w:type="continuationSeparator" w:id="0">
    <w:p w14:paraId="06574D18" w14:textId="77777777" w:rsidR="004108E8" w:rsidRDefault="004108E8" w:rsidP="0089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48963"/>
      <w:docPartObj>
        <w:docPartGallery w:val="Watermarks"/>
        <w:docPartUnique/>
      </w:docPartObj>
    </w:sdtPr>
    <w:sdtEndPr/>
    <w:sdtContent>
      <w:p w14:paraId="69BC226F" w14:textId="4E1ACDEB" w:rsidR="00893B5B" w:rsidRDefault="000F310A">
        <w:pPr>
          <w:pStyle w:val="Header"/>
        </w:pPr>
        <w:r>
          <w:rPr>
            <w:noProof/>
          </w:rPr>
          <w:pict w14:anchorId="07D98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520F8"/>
    <w:multiLevelType w:val="hybridMultilevel"/>
    <w:tmpl w:val="0D2A61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F4971B5"/>
    <w:multiLevelType w:val="hybridMultilevel"/>
    <w:tmpl w:val="006C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63574"/>
    <w:multiLevelType w:val="hybridMultilevel"/>
    <w:tmpl w:val="7C8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AF"/>
    <w:rsid w:val="00030EAD"/>
    <w:rsid w:val="00041531"/>
    <w:rsid w:val="00064871"/>
    <w:rsid w:val="000662D1"/>
    <w:rsid w:val="000A7A01"/>
    <w:rsid w:val="000D56A5"/>
    <w:rsid w:val="000F310A"/>
    <w:rsid w:val="0011631E"/>
    <w:rsid w:val="00117C78"/>
    <w:rsid w:val="00170E3F"/>
    <w:rsid w:val="00190C3A"/>
    <w:rsid w:val="00192B47"/>
    <w:rsid w:val="001A2210"/>
    <w:rsid w:val="001A25A4"/>
    <w:rsid w:val="001C0A64"/>
    <w:rsid w:val="001C7311"/>
    <w:rsid w:val="001D2203"/>
    <w:rsid w:val="001D53E9"/>
    <w:rsid w:val="002026C0"/>
    <w:rsid w:val="00226C06"/>
    <w:rsid w:val="002432A7"/>
    <w:rsid w:val="002523C0"/>
    <w:rsid w:val="00255D6E"/>
    <w:rsid w:val="002772FC"/>
    <w:rsid w:val="002A7598"/>
    <w:rsid w:val="002F6240"/>
    <w:rsid w:val="00301D74"/>
    <w:rsid w:val="00303176"/>
    <w:rsid w:val="003204C6"/>
    <w:rsid w:val="0035734A"/>
    <w:rsid w:val="0037497C"/>
    <w:rsid w:val="003B198E"/>
    <w:rsid w:val="003B64E3"/>
    <w:rsid w:val="003C66D9"/>
    <w:rsid w:val="003D22F1"/>
    <w:rsid w:val="003F7E46"/>
    <w:rsid w:val="004108E8"/>
    <w:rsid w:val="004135B0"/>
    <w:rsid w:val="00433BCF"/>
    <w:rsid w:val="00434FE6"/>
    <w:rsid w:val="0045568D"/>
    <w:rsid w:val="00462F6E"/>
    <w:rsid w:val="00467F4F"/>
    <w:rsid w:val="00491E65"/>
    <w:rsid w:val="004A16E5"/>
    <w:rsid w:val="004B0E66"/>
    <w:rsid w:val="004C0539"/>
    <w:rsid w:val="004D73E6"/>
    <w:rsid w:val="004F126A"/>
    <w:rsid w:val="005424B9"/>
    <w:rsid w:val="00542F12"/>
    <w:rsid w:val="0054381E"/>
    <w:rsid w:val="00547994"/>
    <w:rsid w:val="00557159"/>
    <w:rsid w:val="006100FB"/>
    <w:rsid w:val="0063042E"/>
    <w:rsid w:val="00654031"/>
    <w:rsid w:val="00657CC1"/>
    <w:rsid w:val="00662B56"/>
    <w:rsid w:val="00663641"/>
    <w:rsid w:val="006662F0"/>
    <w:rsid w:val="006732A3"/>
    <w:rsid w:val="00680F18"/>
    <w:rsid w:val="00696E53"/>
    <w:rsid w:val="006A3557"/>
    <w:rsid w:val="006B5954"/>
    <w:rsid w:val="006B7E9D"/>
    <w:rsid w:val="006E7027"/>
    <w:rsid w:val="00724ECF"/>
    <w:rsid w:val="007405FC"/>
    <w:rsid w:val="00751E83"/>
    <w:rsid w:val="007554C4"/>
    <w:rsid w:val="00781187"/>
    <w:rsid w:val="00823615"/>
    <w:rsid w:val="00893B5B"/>
    <w:rsid w:val="008A5862"/>
    <w:rsid w:val="008B4545"/>
    <w:rsid w:val="008D7B5B"/>
    <w:rsid w:val="00900AFB"/>
    <w:rsid w:val="009225F9"/>
    <w:rsid w:val="00942A83"/>
    <w:rsid w:val="00962D14"/>
    <w:rsid w:val="009816FD"/>
    <w:rsid w:val="009A5FBB"/>
    <w:rsid w:val="009C5442"/>
    <w:rsid w:val="00A30B20"/>
    <w:rsid w:val="00A644C2"/>
    <w:rsid w:val="00AA3F0D"/>
    <w:rsid w:val="00AA4040"/>
    <w:rsid w:val="00B129E7"/>
    <w:rsid w:val="00B4025D"/>
    <w:rsid w:val="00B63966"/>
    <w:rsid w:val="00BE26ED"/>
    <w:rsid w:val="00BF4A2C"/>
    <w:rsid w:val="00C16207"/>
    <w:rsid w:val="00C3529B"/>
    <w:rsid w:val="00C579A9"/>
    <w:rsid w:val="00C65648"/>
    <w:rsid w:val="00C75DF8"/>
    <w:rsid w:val="00CE0B66"/>
    <w:rsid w:val="00CE6B09"/>
    <w:rsid w:val="00CF552B"/>
    <w:rsid w:val="00CF5A8B"/>
    <w:rsid w:val="00D117E8"/>
    <w:rsid w:val="00D166EC"/>
    <w:rsid w:val="00D261A9"/>
    <w:rsid w:val="00D3540B"/>
    <w:rsid w:val="00D44C74"/>
    <w:rsid w:val="00D55186"/>
    <w:rsid w:val="00D6263B"/>
    <w:rsid w:val="00D80BCA"/>
    <w:rsid w:val="00D930FE"/>
    <w:rsid w:val="00DA7D93"/>
    <w:rsid w:val="00DE7E01"/>
    <w:rsid w:val="00E176AC"/>
    <w:rsid w:val="00E34BEA"/>
    <w:rsid w:val="00E37EA1"/>
    <w:rsid w:val="00E43CDF"/>
    <w:rsid w:val="00E5107B"/>
    <w:rsid w:val="00E67932"/>
    <w:rsid w:val="00E710A9"/>
    <w:rsid w:val="00E84561"/>
    <w:rsid w:val="00E862CC"/>
    <w:rsid w:val="00EB2E5F"/>
    <w:rsid w:val="00ED6B95"/>
    <w:rsid w:val="00F01C04"/>
    <w:rsid w:val="00F269B5"/>
    <w:rsid w:val="00F33881"/>
    <w:rsid w:val="00F340AF"/>
    <w:rsid w:val="00F5496D"/>
    <w:rsid w:val="00F903E1"/>
    <w:rsid w:val="00FB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D971BE"/>
  <w15:chartTrackingRefBased/>
  <w15:docId w15:val="{340B7445-D5FD-48C6-9CB2-8B90CC4C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re,Bullet Style,List Paragraph1,Dot pt,No Spacing1,List Paragraph Char Char Char,Indicator Text,Numbered Para 1,Bullet 1,Bullet Points,MAIN CONTENT,List Paragraph2,OBC Bullet,List Paragraph11,List Paragraph12,F5 List Paragraph,Mai,Mair"/>
    <w:basedOn w:val="Normal"/>
    <w:link w:val="ListParagraphChar"/>
    <w:uiPriority w:val="34"/>
    <w:qFormat/>
    <w:rsid w:val="003D22F1"/>
    <w:pPr>
      <w:ind w:left="720"/>
      <w:contextualSpacing/>
    </w:pPr>
  </w:style>
  <w:style w:type="character" w:customStyle="1" w:styleId="ListParagraphChar">
    <w:name w:val="List Paragraph Char"/>
    <w:aliases w:val="Maire Char,Bullet Style Char,List Paragraph1 Char,Dot pt Char,No Spacing1 Char,List Paragraph Char Char Char Char,Indicator Text Char,Numbered Para 1 Char,Bullet 1 Char,Bullet Points Char,MAIN CONTENT Char,List Paragraph2 Char"/>
    <w:basedOn w:val="DefaultParagraphFont"/>
    <w:link w:val="ListParagraph"/>
    <w:uiPriority w:val="34"/>
    <w:qFormat/>
    <w:rsid w:val="00F01C04"/>
  </w:style>
  <w:style w:type="paragraph" w:styleId="Header">
    <w:name w:val="header"/>
    <w:basedOn w:val="Normal"/>
    <w:link w:val="HeaderChar"/>
    <w:uiPriority w:val="99"/>
    <w:unhideWhenUsed/>
    <w:rsid w:val="00893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B5B"/>
  </w:style>
  <w:style w:type="paragraph" w:styleId="Footer">
    <w:name w:val="footer"/>
    <w:basedOn w:val="Normal"/>
    <w:link w:val="FooterChar"/>
    <w:uiPriority w:val="99"/>
    <w:unhideWhenUsed/>
    <w:rsid w:val="00893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6E5D1-597E-4668-A43E-7CBB829F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fearon</dc:creator>
  <cp:keywords/>
  <dc:description/>
  <cp:lastModifiedBy>Catherine Clynes (PER)</cp:lastModifiedBy>
  <cp:revision>2</cp:revision>
  <cp:lastPrinted>2021-03-21T23:26:00Z</cp:lastPrinted>
  <dcterms:created xsi:type="dcterms:W3CDTF">2021-04-13T13:21:00Z</dcterms:created>
  <dcterms:modified xsi:type="dcterms:W3CDTF">2021-04-13T13:21:00Z</dcterms:modified>
</cp:coreProperties>
</file>