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5A67E" w14:textId="3CB4D43E" w:rsidR="001902C8" w:rsidRPr="00F86B22" w:rsidRDefault="00B12BF0" w:rsidP="00D07876">
      <w:pPr>
        <w:pStyle w:val="Title"/>
        <w:rPr>
          <w:rFonts w:ascii="Century Gothic" w:hAnsi="Century Gothic"/>
          <w:sz w:val="40"/>
          <w:szCs w:val="40"/>
        </w:rPr>
      </w:pPr>
      <w:r>
        <w:rPr>
          <w:rFonts w:ascii="Century Gothic" w:hAnsi="Century Gothic"/>
          <w:sz w:val="40"/>
          <w:szCs w:val="40"/>
        </w:rPr>
        <w:t xml:space="preserve">Concept Note Template </w:t>
      </w:r>
    </w:p>
    <w:p w14:paraId="23ECE400" w14:textId="77777777" w:rsidR="00D07876" w:rsidRPr="00D07876" w:rsidRDefault="00D07876" w:rsidP="00D07876"/>
    <w:tbl>
      <w:tblPr>
        <w:tblStyle w:val="TableGrid"/>
        <w:tblW w:w="9634" w:type="dxa"/>
        <w:tblLook w:val="04A0" w:firstRow="1" w:lastRow="0" w:firstColumn="1" w:lastColumn="0" w:noHBand="0" w:noVBand="1"/>
      </w:tblPr>
      <w:tblGrid>
        <w:gridCol w:w="2624"/>
        <w:gridCol w:w="7010"/>
      </w:tblGrid>
      <w:tr w:rsidR="00D10BD8" w:rsidRPr="002A1DCC" w14:paraId="7409A0AE" w14:textId="77777777" w:rsidTr="00E90154">
        <w:trPr>
          <w:trHeight w:val="422"/>
        </w:trPr>
        <w:tc>
          <w:tcPr>
            <w:tcW w:w="2624" w:type="dxa"/>
            <w:vAlign w:val="center"/>
          </w:tcPr>
          <w:p w14:paraId="6EC11A3E" w14:textId="77777777" w:rsidR="00D10BD8" w:rsidRPr="002A1DCC" w:rsidRDefault="00D10BD8" w:rsidP="00D07876">
            <w:pPr>
              <w:rPr>
                <w:rFonts w:ascii="Cambria" w:hAnsi="Cambria" w:cs="Tahoma"/>
              </w:rPr>
            </w:pPr>
            <w:r w:rsidRPr="002A1DCC">
              <w:rPr>
                <w:rFonts w:ascii="Cambria" w:hAnsi="Cambria" w:cs="Tahoma"/>
              </w:rPr>
              <w:t>Working Title</w:t>
            </w:r>
          </w:p>
          <w:p w14:paraId="0118C100" w14:textId="77777777" w:rsidR="00D10BD8" w:rsidRPr="002A1DCC" w:rsidRDefault="00D10BD8" w:rsidP="00D07876">
            <w:pPr>
              <w:rPr>
                <w:rFonts w:ascii="Cambria" w:hAnsi="Cambria" w:cs="Tahoma"/>
              </w:rPr>
            </w:pPr>
          </w:p>
        </w:tc>
        <w:tc>
          <w:tcPr>
            <w:tcW w:w="7010" w:type="dxa"/>
            <w:vAlign w:val="center"/>
          </w:tcPr>
          <w:p w14:paraId="2DB0D5DF" w14:textId="6B61B4F5" w:rsidR="00DF53B5" w:rsidRPr="002A1DCC" w:rsidRDefault="00336958" w:rsidP="00D07876">
            <w:pPr>
              <w:rPr>
                <w:rFonts w:ascii="Cambria" w:hAnsi="Cambria" w:cs="Tahoma"/>
                <w:b/>
              </w:rPr>
            </w:pPr>
            <w:proofErr w:type="spellStart"/>
            <w:r>
              <w:rPr>
                <w:rFonts w:ascii="Cambria" w:hAnsi="Cambria" w:cs="Tahoma"/>
                <w:b/>
              </w:rPr>
              <w:t>WeAct</w:t>
            </w:r>
            <w:proofErr w:type="spellEnd"/>
            <w:r>
              <w:rPr>
                <w:rFonts w:ascii="Cambria" w:hAnsi="Cambria" w:cs="Tahoma"/>
                <w:b/>
              </w:rPr>
              <w:t xml:space="preserve"> 4 EU Rights </w:t>
            </w:r>
          </w:p>
        </w:tc>
      </w:tr>
      <w:tr w:rsidR="00D10BD8" w:rsidRPr="002A1DCC" w14:paraId="6C81152C" w14:textId="77777777" w:rsidTr="00E90154">
        <w:tc>
          <w:tcPr>
            <w:tcW w:w="2624" w:type="dxa"/>
            <w:vAlign w:val="center"/>
          </w:tcPr>
          <w:p w14:paraId="3066224B" w14:textId="34A5EEDF" w:rsidR="00D10BD8" w:rsidRPr="002A1DCC" w:rsidRDefault="00D07876" w:rsidP="00D07876">
            <w:pPr>
              <w:rPr>
                <w:rFonts w:ascii="Cambria" w:hAnsi="Cambria" w:cs="Tahoma"/>
              </w:rPr>
            </w:pPr>
            <w:r w:rsidRPr="002A1DCC">
              <w:rPr>
                <w:rFonts w:ascii="Cambria" w:hAnsi="Cambria" w:cs="Tahoma"/>
              </w:rPr>
              <w:t>Funding body</w:t>
            </w:r>
          </w:p>
          <w:p w14:paraId="593E68D7" w14:textId="77777777" w:rsidR="00D10BD8" w:rsidRPr="002A1DCC" w:rsidRDefault="00D10BD8" w:rsidP="00D07876">
            <w:pPr>
              <w:rPr>
                <w:rFonts w:ascii="Cambria" w:hAnsi="Cambria" w:cs="Tahoma"/>
              </w:rPr>
            </w:pPr>
          </w:p>
        </w:tc>
        <w:tc>
          <w:tcPr>
            <w:tcW w:w="7010" w:type="dxa"/>
            <w:vAlign w:val="center"/>
          </w:tcPr>
          <w:p w14:paraId="4A48F8E4" w14:textId="5C314C8A" w:rsidR="00D10BD8" w:rsidRPr="002A1DCC" w:rsidRDefault="00CB2D94" w:rsidP="00D07876">
            <w:pPr>
              <w:rPr>
                <w:rFonts w:ascii="Cambria" w:hAnsi="Cambria" w:cs="Tahoma"/>
              </w:rPr>
            </w:pPr>
            <w:r>
              <w:rPr>
                <w:rFonts w:ascii="Cambria" w:hAnsi="Cambria" w:cs="Tahoma"/>
              </w:rPr>
              <w:t>EU</w:t>
            </w:r>
          </w:p>
        </w:tc>
      </w:tr>
      <w:tr w:rsidR="00D10BD8" w:rsidRPr="002A1DCC" w14:paraId="60DE362F" w14:textId="77777777" w:rsidTr="00E90154">
        <w:tc>
          <w:tcPr>
            <w:tcW w:w="2624" w:type="dxa"/>
            <w:vAlign w:val="center"/>
          </w:tcPr>
          <w:p w14:paraId="2F162ABA" w14:textId="6E511557" w:rsidR="00D10BD8" w:rsidRPr="002A1DCC" w:rsidRDefault="00D07876" w:rsidP="00D07876">
            <w:pPr>
              <w:rPr>
                <w:rFonts w:ascii="Cambria" w:hAnsi="Cambria" w:cs="Tahoma"/>
              </w:rPr>
            </w:pPr>
            <w:r w:rsidRPr="002A1DCC">
              <w:rPr>
                <w:rFonts w:ascii="Cambria" w:hAnsi="Cambria" w:cs="Tahoma"/>
              </w:rPr>
              <w:t>Funding Programme</w:t>
            </w:r>
          </w:p>
          <w:p w14:paraId="0071F139" w14:textId="77777777" w:rsidR="00D10BD8" w:rsidRPr="002A1DCC" w:rsidRDefault="00D10BD8" w:rsidP="00D07876">
            <w:pPr>
              <w:rPr>
                <w:rFonts w:ascii="Cambria" w:hAnsi="Cambria" w:cs="Tahoma"/>
              </w:rPr>
            </w:pPr>
          </w:p>
        </w:tc>
        <w:tc>
          <w:tcPr>
            <w:tcW w:w="7010" w:type="dxa"/>
            <w:vAlign w:val="center"/>
          </w:tcPr>
          <w:p w14:paraId="2E3FCE68" w14:textId="7B1BE841" w:rsidR="00D10BD8" w:rsidRPr="002A1DCC" w:rsidRDefault="00CB2D94" w:rsidP="00D07876">
            <w:pPr>
              <w:rPr>
                <w:rFonts w:ascii="Cambria" w:hAnsi="Cambria" w:cs="Tahoma"/>
              </w:rPr>
            </w:pPr>
            <w:r>
              <w:rPr>
                <w:rFonts w:ascii="Cambria" w:hAnsi="Cambria" w:cs="Tahoma"/>
              </w:rPr>
              <w:t>CERV</w:t>
            </w:r>
          </w:p>
        </w:tc>
      </w:tr>
      <w:tr w:rsidR="00D10BD8" w:rsidRPr="002A1DCC" w14:paraId="3CDFB2AC" w14:textId="77777777" w:rsidTr="00E90154">
        <w:tc>
          <w:tcPr>
            <w:tcW w:w="2624" w:type="dxa"/>
            <w:vAlign w:val="center"/>
          </w:tcPr>
          <w:p w14:paraId="47D19C93" w14:textId="77777777" w:rsidR="00D10BD8" w:rsidRPr="002A1DCC" w:rsidRDefault="00D10BD8" w:rsidP="00D07876">
            <w:pPr>
              <w:rPr>
                <w:rFonts w:ascii="Cambria" w:hAnsi="Cambria" w:cs="Tahoma"/>
              </w:rPr>
            </w:pPr>
            <w:r w:rsidRPr="002A1DCC">
              <w:rPr>
                <w:rFonts w:ascii="Cambria" w:hAnsi="Cambria" w:cs="Tahoma"/>
              </w:rPr>
              <w:t>Duration</w:t>
            </w:r>
          </w:p>
          <w:p w14:paraId="4F70A059" w14:textId="77777777" w:rsidR="00D10BD8" w:rsidRPr="002A1DCC" w:rsidRDefault="00D10BD8" w:rsidP="00D07876">
            <w:pPr>
              <w:rPr>
                <w:rFonts w:ascii="Cambria" w:hAnsi="Cambria" w:cs="Tahoma"/>
              </w:rPr>
            </w:pPr>
          </w:p>
        </w:tc>
        <w:tc>
          <w:tcPr>
            <w:tcW w:w="7010" w:type="dxa"/>
            <w:vAlign w:val="center"/>
          </w:tcPr>
          <w:p w14:paraId="2EC45438" w14:textId="74C234E4" w:rsidR="00D10BD8" w:rsidRPr="009759B8" w:rsidRDefault="00CB2D94" w:rsidP="00D07876">
            <w:pPr>
              <w:rPr>
                <w:rFonts w:ascii="Cambria" w:hAnsi="Cambria" w:cs="Tahoma"/>
                <w:iCs/>
              </w:rPr>
            </w:pPr>
            <w:r>
              <w:rPr>
                <w:rFonts w:ascii="Cambria" w:hAnsi="Cambria" w:cs="Tahoma"/>
                <w:iCs/>
              </w:rPr>
              <w:t>24 months</w:t>
            </w:r>
          </w:p>
        </w:tc>
      </w:tr>
      <w:tr w:rsidR="00D10BD8" w:rsidRPr="002A1DCC" w14:paraId="437A5A81" w14:textId="77777777" w:rsidTr="00E90154">
        <w:tc>
          <w:tcPr>
            <w:tcW w:w="2624" w:type="dxa"/>
            <w:vAlign w:val="center"/>
          </w:tcPr>
          <w:p w14:paraId="6CD65184" w14:textId="77777777" w:rsidR="00D10BD8" w:rsidRPr="002A1DCC" w:rsidRDefault="00D10BD8" w:rsidP="00D07876">
            <w:pPr>
              <w:rPr>
                <w:rFonts w:ascii="Cambria" w:hAnsi="Cambria" w:cs="Tahoma"/>
              </w:rPr>
            </w:pPr>
            <w:r w:rsidRPr="002A1DCC">
              <w:rPr>
                <w:rFonts w:ascii="Cambria" w:hAnsi="Cambria" w:cs="Tahoma"/>
              </w:rPr>
              <w:t>Deadline</w:t>
            </w:r>
          </w:p>
          <w:p w14:paraId="75021768" w14:textId="77777777" w:rsidR="00D10BD8" w:rsidRPr="002A1DCC" w:rsidRDefault="00D10BD8" w:rsidP="00D07876">
            <w:pPr>
              <w:rPr>
                <w:rFonts w:ascii="Cambria" w:hAnsi="Cambria" w:cs="Tahoma"/>
              </w:rPr>
            </w:pPr>
          </w:p>
        </w:tc>
        <w:tc>
          <w:tcPr>
            <w:tcW w:w="7010" w:type="dxa"/>
            <w:vAlign w:val="center"/>
          </w:tcPr>
          <w:p w14:paraId="6C48E4B1" w14:textId="66E4683B" w:rsidR="00D07876" w:rsidRPr="0049738A" w:rsidRDefault="00CB2D94" w:rsidP="005C692E">
            <w:pPr>
              <w:rPr>
                <w:rFonts w:ascii="Cambria" w:hAnsi="Cambria"/>
                <w:i/>
                <w:iCs/>
              </w:rPr>
            </w:pPr>
            <w:r w:rsidRPr="00CB2D94">
              <w:rPr>
                <w:rFonts w:ascii="Cambria" w:hAnsi="Cambria"/>
                <w:i/>
                <w:iCs/>
                <w:highlight w:val="yellow"/>
              </w:rPr>
              <w:t>TBC</w:t>
            </w:r>
          </w:p>
        </w:tc>
      </w:tr>
      <w:tr w:rsidR="00D10BD8" w:rsidRPr="002A1DCC" w14:paraId="1D8E6938" w14:textId="77777777" w:rsidTr="00E90154">
        <w:tc>
          <w:tcPr>
            <w:tcW w:w="2624" w:type="dxa"/>
            <w:vAlign w:val="center"/>
          </w:tcPr>
          <w:p w14:paraId="47EED89C" w14:textId="37AC942E" w:rsidR="00D10BD8" w:rsidRPr="002A1DCC" w:rsidRDefault="00D10BD8" w:rsidP="00D07876">
            <w:pPr>
              <w:rPr>
                <w:rFonts w:ascii="Cambria" w:hAnsi="Cambria" w:cs="Tahoma"/>
              </w:rPr>
            </w:pPr>
            <w:r w:rsidRPr="002A1DCC">
              <w:rPr>
                <w:rFonts w:ascii="Cambria" w:hAnsi="Cambria" w:cs="Tahoma"/>
              </w:rPr>
              <w:t>Budget</w:t>
            </w:r>
          </w:p>
          <w:p w14:paraId="30F8B908" w14:textId="77777777" w:rsidR="00D10BD8" w:rsidRPr="002A1DCC" w:rsidRDefault="00D10BD8" w:rsidP="00D07876">
            <w:pPr>
              <w:rPr>
                <w:rFonts w:ascii="Cambria" w:hAnsi="Cambria" w:cs="Tahoma"/>
              </w:rPr>
            </w:pPr>
          </w:p>
        </w:tc>
        <w:tc>
          <w:tcPr>
            <w:tcW w:w="7010" w:type="dxa"/>
            <w:vAlign w:val="center"/>
          </w:tcPr>
          <w:p w14:paraId="50DF3202" w14:textId="41026DDC" w:rsidR="00D10BD8" w:rsidRPr="002A1DCC" w:rsidRDefault="00CB2D94" w:rsidP="00D07876">
            <w:pPr>
              <w:rPr>
                <w:rFonts w:ascii="Cambria" w:hAnsi="Cambria" w:cs="Tahoma"/>
                <w:i/>
              </w:rPr>
            </w:pPr>
            <w:r w:rsidRPr="00CB2D94">
              <w:rPr>
                <w:rFonts w:ascii="Cambria" w:hAnsi="Cambria" w:cs="Tahoma"/>
                <w:i/>
                <w:highlight w:val="yellow"/>
              </w:rPr>
              <w:t>500,000 TBC</w:t>
            </w:r>
            <w:r w:rsidR="00E57067">
              <w:rPr>
                <w:rFonts w:ascii="Cambria" w:hAnsi="Cambria" w:cs="Tahoma"/>
                <w:i/>
              </w:rPr>
              <w:t xml:space="preserve"> </w:t>
            </w:r>
            <w:bookmarkStart w:id="0" w:name="_GoBack"/>
            <w:bookmarkEnd w:id="0"/>
          </w:p>
        </w:tc>
      </w:tr>
      <w:tr w:rsidR="00D07876" w:rsidRPr="002A1DCC" w14:paraId="3857C316" w14:textId="77777777" w:rsidTr="00E90154">
        <w:tc>
          <w:tcPr>
            <w:tcW w:w="2624" w:type="dxa"/>
            <w:vAlign w:val="center"/>
          </w:tcPr>
          <w:p w14:paraId="59E38BAF" w14:textId="5305BFBB" w:rsidR="00D07876" w:rsidRPr="002A1DCC" w:rsidRDefault="00B12BF0" w:rsidP="00D07876">
            <w:pPr>
              <w:rPr>
                <w:rFonts w:ascii="Cambria" w:hAnsi="Cambria" w:cs="Tahoma"/>
              </w:rPr>
            </w:pPr>
            <w:r>
              <w:rPr>
                <w:rFonts w:ascii="Cambria" w:hAnsi="Cambria" w:cs="Tahoma"/>
              </w:rPr>
              <w:t>S</w:t>
            </w:r>
            <w:r w:rsidR="00D07876" w:rsidRPr="002A1DCC">
              <w:rPr>
                <w:rFonts w:ascii="Cambria" w:hAnsi="Cambria" w:cs="Tahoma"/>
              </w:rPr>
              <w:t>trategic objective(s) addressed</w:t>
            </w:r>
          </w:p>
          <w:p w14:paraId="03A4429D" w14:textId="19E405AD" w:rsidR="00D07876" w:rsidRPr="002A1DCC" w:rsidRDefault="00D07876" w:rsidP="00D07876">
            <w:pPr>
              <w:rPr>
                <w:rFonts w:ascii="Cambria" w:hAnsi="Cambria" w:cs="Tahoma"/>
              </w:rPr>
            </w:pPr>
          </w:p>
        </w:tc>
        <w:tc>
          <w:tcPr>
            <w:tcW w:w="7010" w:type="dxa"/>
            <w:vAlign w:val="center"/>
          </w:tcPr>
          <w:p w14:paraId="4F9C4033" w14:textId="08FA846F" w:rsidR="00D07876" w:rsidRPr="0049738A" w:rsidRDefault="002A4EB5" w:rsidP="0049738A">
            <w:pPr>
              <w:rPr>
                <w:rFonts w:ascii="Cambria" w:hAnsi="Cambria" w:cs="Tahoma"/>
                <w:i/>
              </w:rPr>
            </w:pPr>
            <w:proofErr w:type="spellStart"/>
            <w:r>
              <w:rPr>
                <w:rFonts w:ascii="Cambria" w:hAnsi="Cambria" w:cs="Tahoma"/>
                <w:i/>
              </w:rPr>
              <w:t>WeAct</w:t>
            </w:r>
            <w:proofErr w:type="spellEnd"/>
          </w:p>
        </w:tc>
      </w:tr>
      <w:tr w:rsidR="00576BB1" w:rsidRPr="002A1DCC" w14:paraId="575C5C66" w14:textId="77777777" w:rsidTr="00E90154">
        <w:tc>
          <w:tcPr>
            <w:tcW w:w="2624" w:type="dxa"/>
            <w:vAlign w:val="center"/>
          </w:tcPr>
          <w:p w14:paraId="7B6751CC" w14:textId="77777777" w:rsidR="00576BB1" w:rsidRPr="002A1DCC" w:rsidRDefault="00576BB1" w:rsidP="00D07876">
            <w:pPr>
              <w:rPr>
                <w:rFonts w:ascii="Cambria" w:hAnsi="Cambria" w:cs="Tahoma"/>
              </w:rPr>
            </w:pPr>
          </w:p>
          <w:p w14:paraId="45B9F1C0" w14:textId="7F0CC008" w:rsidR="00576BB1" w:rsidRPr="002A1DCC" w:rsidRDefault="00D07876" w:rsidP="00D07876">
            <w:pPr>
              <w:rPr>
                <w:rFonts w:ascii="Cambria" w:hAnsi="Cambria" w:cs="Tahoma"/>
              </w:rPr>
            </w:pPr>
            <w:r w:rsidRPr="002A1DCC">
              <w:rPr>
                <w:rFonts w:ascii="Cambria" w:hAnsi="Cambria" w:cs="Tahoma"/>
              </w:rPr>
              <w:t>Funder strategic objective(s) addressed</w:t>
            </w:r>
          </w:p>
          <w:p w14:paraId="097C294C" w14:textId="77777777" w:rsidR="00576BB1" w:rsidRPr="002A1DCC" w:rsidRDefault="00576BB1" w:rsidP="00D07876">
            <w:pPr>
              <w:rPr>
                <w:rFonts w:ascii="Cambria" w:hAnsi="Cambria" w:cs="Tahoma"/>
              </w:rPr>
            </w:pPr>
          </w:p>
        </w:tc>
        <w:tc>
          <w:tcPr>
            <w:tcW w:w="7010" w:type="dxa"/>
            <w:tcBorders>
              <w:bottom w:val="single" w:sz="4" w:space="0" w:color="auto"/>
            </w:tcBorders>
            <w:vAlign w:val="center"/>
          </w:tcPr>
          <w:p w14:paraId="26D124AC" w14:textId="77777777" w:rsidR="002A4EB5" w:rsidRDefault="002A4EB5" w:rsidP="002A4EB5">
            <w:pPr>
              <w:pStyle w:val="ListParagraph"/>
              <w:numPr>
                <w:ilvl w:val="0"/>
                <w:numId w:val="45"/>
              </w:numPr>
            </w:pPr>
            <w:r>
              <w:t>Strengthening the application of the Charter in the Member States, in particular through awareness raising and capacity building initiatives.</w:t>
            </w:r>
          </w:p>
          <w:p w14:paraId="78650ACD" w14:textId="2EF4466F" w:rsidR="00215976" w:rsidRPr="00215976" w:rsidRDefault="00215976" w:rsidP="0049738A">
            <w:pPr>
              <w:rPr>
                <w:rFonts w:ascii="Cambria" w:hAnsi="Cambria"/>
              </w:rPr>
            </w:pPr>
          </w:p>
        </w:tc>
      </w:tr>
      <w:tr w:rsidR="00CB2D94" w:rsidRPr="002A1DCC" w14:paraId="7FBB7C12" w14:textId="77777777" w:rsidTr="00E90154">
        <w:tc>
          <w:tcPr>
            <w:tcW w:w="2624" w:type="dxa"/>
            <w:vAlign w:val="center"/>
          </w:tcPr>
          <w:p w14:paraId="749148FB" w14:textId="21C92445" w:rsidR="00CB2D94" w:rsidRPr="002A1DCC" w:rsidRDefault="00CB2D94" w:rsidP="00D07876">
            <w:pPr>
              <w:rPr>
                <w:rFonts w:ascii="Cambria" w:hAnsi="Cambria" w:cs="Tahoma"/>
              </w:rPr>
            </w:pPr>
            <w:r>
              <w:rPr>
                <w:rFonts w:ascii="Cambria" w:hAnsi="Cambria" w:cs="Tahoma"/>
              </w:rPr>
              <w:t>Policies and key words mentioned</w:t>
            </w:r>
          </w:p>
        </w:tc>
        <w:tc>
          <w:tcPr>
            <w:tcW w:w="7010" w:type="dxa"/>
            <w:tcBorders>
              <w:bottom w:val="single" w:sz="4" w:space="0" w:color="auto"/>
            </w:tcBorders>
            <w:vAlign w:val="center"/>
          </w:tcPr>
          <w:p w14:paraId="035662C0" w14:textId="77777777" w:rsidR="00CB2D94" w:rsidRDefault="00CB2D94" w:rsidP="00336958">
            <w:pPr>
              <w:pStyle w:val="ListParagraph"/>
              <w:numPr>
                <w:ilvl w:val="0"/>
                <w:numId w:val="45"/>
              </w:numPr>
            </w:pPr>
            <w:r>
              <w:t>Charter of Fundamental Rights of the European Union</w:t>
            </w:r>
          </w:p>
          <w:p w14:paraId="5677627F" w14:textId="77777777" w:rsidR="00CB2D94" w:rsidRDefault="00CB2D94" w:rsidP="00336958">
            <w:pPr>
              <w:pStyle w:val="ListParagraph"/>
              <w:numPr>
                <w:ilvl w:val="0"/>
                <w:numId w:val="45"/>
              </w:numPr>
            </w:pPr>
            <w:r>
              <w:t>Strategy to strengthen the application of the Charter of Fundamental Rights</w:t>
            </w:r>
          </w:p>
          <w:p w14:paraId="45153746" w14:textId="77777777" w:rsidR="00CB2D94" w:rsidRDefault="00CB2D94" w:rsidP="00336958">
            <w:pPr>
              <w:pStyle w:val="ListParagraph"/>
              <w:numPr>
                <w:ilvl w:val="0"/>
                <w:numId w:val="45"/>
              </w:numPr>
            </w:pPr>
            <w:r>
              <w:t>topics of the 2022 annual report on the application of the Charter on A thriving civic space for upholding fundamental rights in the EU</w:t>
            </w:r>
          </w:p>
          <w:p w14:paraId="64C096C4" w14:textId="77777777" w:rsidR="00CB2D94" w:rsidRDefault="00CB2D94" w:rsidP="00336958">
            <w:pPr>
              <w:pStyle w:val="ListParagraph"/>
              <w:numPr>
                <w:ilvl w:val="0"/>
                <w:numId w:val="45"/>
              </w:numPr>
            </w:pPr>
            <w:r>
              <w:t>combating hate speech and hate crime</w:t>
            </w:r>
          </w:p>
          <w:p w14:paraId="0919ADDC" w14:textId="4047322B" w:rsidR="00CB2D94" w:rsidRDefault="00CB2D94" w:rsidP="0049738A">
            <w:pPr>
              <w:pStyle w:val="ListParagraph"/>
              <w:numPr>
                <w:ilvl w:val="0"/>
                <w:numId w:val="45"/>
              </w:numPr>
            </w:pPr>
            <w:r>
              <w:t>The COVID pandemic and the war in Ukraine have contributed to further polarisation and the spread of racist, xenophobic and intolerant speech and conspiracy theories</w:t>
            </w:r>
          </w:p>
          <w:p w14:paraId="6F44AB3B" w14:textId="239E3A33" w:rsidR="00CB2D94" w:rsidRDefault="00CB2D94" w:rsidP="00336958">
            <w:pPr>
              <w:pStyle w:val="ListParagraph"/>
              <w:numPr>
                <w:ilvl w:val="0"/>
                <w:numId w:val="45"/>
              </w:numPr>
            </w:pPr>
            <w:proofErr w:type="gramStart"/>
            <w:r>
              <w:t>Protecting, promoting and raising awareness of rights by providing financial support to civil society organisations which are active at local, regional, national and transnational level in promoting and cultivating those rights, thereby also strengthening the protection and promotion of Union values and respect for the rule of law and contributing to the construction of a more democratic Union, democratic dialogue, transparency and good governance.</w:t>
            </w:r>
            <w:proofErr w:type="gramEnd"/>
            <w:r>
              <w:t xml:space="preserve"> </w:t>
            </w:r>
            <w:proofErr w:type="gramStart"/>
            <w:r>
              <w:t xml:space="preserve">This call for proposals will support several EU policy initiatives, including: European democracy action plan, Communication on ‘A more inclusive and protective Europe: extending the list of EU crimes to hate speech and hate crime’, Commission Communication on Strengthening </w:t>
            </w:r>
            <w:proofErr w:type="spellStart"/>
            <w:r>
              <w:t>whistleblower</w:t>
            </w:r>
            <w:proofErr w:type="spellEnd"/>
            <w:r>
              <w:t xml:space="preserve"> protection at EU level, Rule of law report, Strategy to strengthen the application of the Charter of Fundamental Rights in the EU, the Annual reports on the application of the EU Charter of fundamental rights, Commission Recommendation on protecting journalists and human rights defenders who engage in public participation from manifestly unfounded or abusive court proceedings (‘Strategic lawsuits against public participation’).</w:t>
            </w:r>
            <w:proofErr w:type="gramEnd"/>
          </w:p>
          <w:p w14:paraId="082B8C66" w14:textId="09B5DEAE" w:rsidR="00336958" w:rsidRDefault="00336958" w:rsidP="0049738A"/>
          <w:p w14:paraId="212C607A" w14:textId="495605D3" w:rsidR="00336958" w:rsidRDefault="00336958" w:rsidP="00336958">
            <w:pPr>
              <w:pStyle w:val="ListParagraph"/>
              <w:numPr>
                <w:ilvl w:val="0"/>
                <w:numId w:val="45"/>
              </w:numPr>
            </w:pPr>
            <w:r>
              <w:lastRenderedPageBreak/>
              <w:t>S</w:t>
            </w:r>
            <w:r>
              <w:t>trengthening the application of the Charter in the Member States, in particular through awareness raising and capacity building initiatives.</w:t>
            </w:r>
          </w:p>
          <w:p w14:paraId="04A9C371" w14:textId="392F866C" w:rsidR="00CB2D94" w:rsidRPr="00215976" w:rsidRDefault="00CB2D94" w:rsidP="0049738A">
            <w:pPr>
              <w:rPr>
                <w:rFonts w:ascii="Cambria" w:hAnsi="Cambria"/>
              </w:rPr>
            </w:pPr>
          </w:p>
        </w:tc>
      </w:tr>
      <w:tr w:rsidR="00D41AD0" w:rsidRPr="002A1DCC" w14:paraId="3DCA1019" w14:textId="77777777" w:rsidTr="00E90154">
        <w:tc>
          <w:tcPr>
            <w:tcW w:w="2624" w:type="dxa"/>
            <w:vAlign w:val="center"/>
          </w:tcPr>
          <w:p w14:paraId="0D518DB3" w14:textId="7C0F2A51" w:rsidR="00D41AD0" w:rsidRPr="002A1DCC" w:rsidRDefault="00D41AD0" w:rsidP="00D07876">
            <w:pPr>
              <w:rPr>
                <w:rFonts w:ascii="Cambria" w:hAnsi="Cambria" w:cs="Tahoma"/>
              </w:rPr>
            </w:pPr>
            <w:r w:rsidRPr="002A1DCC">
              <w:rPr>
                <w:rFonts w:ascii="Cambria" w:hAnsi="Cambria" w:cs="Tahoma"/>
              </w:rPr>
              <w:lastRenderedPageBreak/>
              <w:t>Partners</w:t>
            </w:r>
            <w:r w:rsidR="00D07876" w:rsidRPr="002A1DCC">
              <w:rPr>
                <w:rFonts w:ascii="Cambria" w:hAnsi="Cambria" w:cs="Tahoma"/>
              </w:rPr>
              <w:t>/stakeholders</w:t>
            </w:r>
          </w:p>
          <w:p w14:paraId="0CB5BAF0" w14:textId="77777777" w:rsidR="00D41AD0" w:rsidRPr="002A1DCC" w:rsidRDefault="00D41AD0" w:rsidP="00D07876">
            <w:pPr>
              <w:rPr>
                <w:rFonts w:ascii="Cambria" w:hAnsi="Cambria" w:cs="Tahoma"/>
              </w:rPr>
            </w:pPr>
          </w:p>
        </w:tc>
        <w:tc>
          <w:tcPr>
            <w:tcW w:w="7010" w:type="dxa"/>
            <w:tcBorders>
              <w:bottom w:val="single" w:sz="4" w:space="0" w:color="auto"/>
            </w:tcBorders>
            <w:vAlign w:val="center"/>
          </w:tcPr>
          <w:p w14:paraId="1B573B74" w14:textId="77777777" w:rsidR="00CB2D94" w:rsidRDefault="00CB2D94" w:rsidP="0049738A">
            <w:pPr>
              <w:rPr>
                <w:rFonts w:ascii="Cambria" w:hAnsi="Cambria"/>
              </w:rPr>
            </w:pPr>
            <w:proofErr w:type="spellStart"/>
            <w:r>
              <w:rPr>
                <w:rFonts w:ascii="Cambria" w:hAnsi="Cambria"/>
              </w:rPr>
              <w:t>WeAct</w:t>
            </w:r>
            <w:proofErr w:type="spellEnd"/>
            <w:r>
              <w:rPr>
                <w:rFonts w:ascii="Cambria" w:hAnsi="Cambria"/>
              </w:rPr>
              <w:t xml:space="preserve"> + steering group </w:t>
            </w:r>
          </w:p>
          <w:p w14:paraId="750193B9" w14:textId="77777777" w:rsidR="00CB2D94" w:rsidRDefault="00CB2D94" w:rsidP="0049738A">
            <w:pPr>
              <w:rPr>
                <w:rFonts w:ascii="Cambria" w:hAnsi="Cambria"/>
              </w:rPr>
            </w:pPr>
            <w:r>
              <w:rPr>
                <w:rFonts w:ascii="Cambria" w:hAnsi="Cambria"/>
              </w:rPr>
              <w:t xml:space="preserve">European Civic Forum </w:t>
            </w:r>
          </w:p>
          <w:p w14:paraId="0F5EDE8A" w14:textId="77777777" w:rsidR="00D80C58" w:rsidRDefault="00CB2D94" w:rsidP="0049738A">
            <w:pPr>
              <w:rPr>
                <w:rFonts w:ascii="Cambria" w:hAnsi="Cambria"/>
              </w:rPr>
            </w:pPr>
            <w:r>
              <w:rPr>
                <w:rFonts w:ascii="Cambria" w:hAnsi="Cambria"/>
              </w:rPr>
              <w:t>Social Economy Europe</w:t>
            </w:r>
          </w:p>
          <w:p w14:paraId="12A3D53A" w14:textId="1B97AFFF" w:rsidR="00CB2D94" w:rsidRDefault="00D80C58" w:rsidP="0049738A">
            <w:pPr>
              <w:rPr>
                <w:rFonts w:ascii="Cambria" w:hAnsi="Cambria"/>
              </w:rPr>
            </w:pPr>
            <w:r>
              <w:rPr>
                <w:rFonts w:ascii="Cambria" w:hAnsi="Cambria"/>
              </w:rPr>
              <w:t>Media Literacy Ireland</w:t>
            </w:r>
            <w:r w:rsidR="00CB2D94">
              <w:rPr>
                <w:rFonts w:ascii="Cambria" w:hAnsi="Cambria"/>
              </w:rPr>
              <w:t xml:space="preserve"> </w:t>
            </w:r>
          </w:p>
          <w:p w14:paraId="7EA5E834" w14:textId="238B7DF9" w:rsidR="00CB2D94" w:rsidRPr="002A1DCC" w:rsidRDefault="00CB2D94" w:rsidP="0049738A">
            <w:pPr>
              <w:rPr>
                <w:rFonts w:ascii="Cambria" w:hAnsi="Cambria"/>
              </w:rPr>
            </w:pPr>
          </w:p>
        </w:tc>
      </w:tr>
      <w:tr w:rsidR="00D41AD0" w:rsidRPr="002A1DCC" w14:paraId="7CB2A250" w14:textId="77777777" w:rsidTr="00E90154">
        <w:tc>
          <w:tcPr>
            <w:tcW w:w="2624" w:type="dxa"/>
            <w:tcBorders>
              <w:bottom w:val="single" w:sz="4" w:space="0" w:color="auto"/>
            </w:tcBorders>
            <w:vAlign w:val="center"/>
          </w:tcPr>
          <w:p w14:paraId="0BD856A4" w14:textId="77777777" w:rsidR="00D41AD0" w:rsidRPr="002A1DCC" w:rsidRDefault="00D41AD0" w:rsidP="00D07876">
            <w:pPr>
              <w:rPr>
                <w:rFonts w:ascii="Cambria" w:hAnsi="Cambria" w:cs="Tahoma"/>
              </w:rPr>
            </w:pPr>
            <w:r w:rsidRPr="002A1DCC">
              <w:rPr>
                <w:rFonts w:ascii="Cambria" w:hAnsi="Cambria" w:cs="Tahoma"/>
              </w:rPr>
              <w:t>Target  groups</w:t>
            </w:r>
          </w:p>
          <w:p w14:paraId="058096F7" w14:textId="72BD8000" w:rsidR="00D41AD0" w:rsidRPr="002A1DCC" w:rsidRDefault="00D41AD0" w:rsidP="00D07876">
            <w:pPr>
              <w:rPr>
                <w:rFonts w:ascii="Cambria" w:hAnsi="Cambria" w:cs="Tahoma"/>
              </w:rPr>
            </w:pPr>
          </w:p>
        </w:tc>
        <w:tc>
          <w:tcPr>
            <w:tcW w:w="7010" w:type="dxa"/>
            <w:tcBorders>
              <w:top w:val="single" w:sz="4" w:space="0" w:color="auto"/>
              <w:bottom w:val="single" w:sz="4" w:space="0" w:color="auto"/>
            </w:tcBorders>
            <w:vAlign w:val="center"/>
          </w:tcPr>
          <w:p w14:paraId="0B19F97E" w14:textId="77777777" w:rsidR="00336958" w:rsidRDefault="00336958" w:rsidP="00336958">
            <w:r>
              <w:t xml:space="preserve">Civil society Groups for capacity building </w:t>
            </w:r>
          </w:p>
          <w:p w14:paraId="1B5E0718" w14:textId="77777777" w:rsidR="00336958" w:rsidRDefault="00336958" w:rsidP="00336958">
            <w:r>
              <w:t xml:space="preserve">Awareness raising for the general public </w:t>
            </w:r>
          </w:p>
          <w:p w14:paraId="406BA556" w14:textId="614E7EA9" w:rsidR="00336958" w:rsidRPr="00336958" w:rsidRDefault="00336958" w:rsidP="00336958"/>
        </w:tc>
      </w:tr>
      <w:tr w:rsidR="002B5DFA" w:rsidRPr="002A1DCC" w14:paraId="6B4F844B" w14:textId="77777777" w:rsidTr="00E90154">
        <w:tc>
          <w:tcPr>
            <w:tcW w:w="2624" w:type="dxa"/>
            <w:vAlign w:val="center"/>
          </w:tcPr>
          <w:p w14:paraId="5C327493" w14:textId="77777777" w:rsidR="002B5DFA" w:rsidRPr="002A1DCC" w:rsidRDefault="002B5DFA" w:rsidP="00D07876">
            <w:pPr>
              <w:tabs>
                <w:tab w:val="left" w:pos="4592"/>
              </w:tabs>
              <w:rPr>
                <w:rFonts w:ascii="Cambria" w:hAnsi="Cambria" w:cs="Tahoma"/>
                <w:lang w:val="en-IE"/>
              </w:rPr>
            </w:pPr>
            <w:r w:rsidRPr="002A1DCC">
              <w:rPr>
                <w:rFonts w:ascii="Cambria" w:hAnsi="Cambria" w:cs="Tahoma"/>
                <w:lang w:val="en-IE"/>
              </w:rPr>
              <w:t>Summary</w:t>
            </w:r>
          </w:p>
          <w:p w14:paraId="16AF11C2" w14:textId="77777777" w:rsidR="002B5DFA" w:rsidRPr="002A1DCC" w:rsidRDefault="002B5DFA" w:rsidP="00D07876">
            <w:pPr>
              <w:tabs>
                <w:tab w:val="left" w:pos="4592"/>
              </w:tabs>
              <w:rPr>
                <w:rFonts w:ascii="Cambria" w:hAnsi="Cambria" w:cs="Tahoma"/>
                <w:lang w:val="en-IE"/>
              </w:rPr>
            </w:pPr>
          </w:p>
        </w:tc>
        <w:tc>
          <w:tcPr>
            <w:tcW w:w="7010" w:type="dxa"/>
            <w:tcBorders>
              <w:top w:val="single" w:sz="4" w:space="0" w:color="auto"/>
              <w:bottom w:val="single" w:sz="4" w:space="0" w:color="auto"/>
            </w:tcBorders>
            <w:vAlign w:val="center"/>
          </w:tcPr>
          <w:p w14:paraId="08EC6EF7" w14:textId="77777777" w:rsidR="007B46E3" w:rsidRDefault="007B46E3" w:rsidP="00D07876">
            <w:pPr>
              <w:rPr>
                <w:rFonts w:ascii="Cambria" w:hAnsi="Cambria" w:cs="Tahoma"/>
                <w:i/>
              </w:rPr>
            </w:pPr>
          </w:p>
          <w:p w14:paraId="30D4A9BA" w14:textId="77777777" w:rsidR="00D80C58" w:rsidRDefault="007B46E3" w:rsidP="007B46E3">
            <w:r w:rsidRPr="00D80C58">
              <w:rPr>
                <w:b/>
              </w:rPr>
              <w:t>Problem:</w:t>
            </w:r>
            <w:r w:rsidRPr="007B46E3">
              <w:t xml:space="preserve"> </w:t>
            </w:r>
          </w:p>
          <w:p w14:paraId="7C0FF3FA" w14:textId="3FC983DE" w:rsidR="007B46E3" w:rsidRDefault="007B46E3" w:rsidP="007B46E3">
            <w:r>
              <w:t xml:space="preserve">People are not aware enough of the fundamental role that civil society plays in protecting, promoting and upholding our fundamental rights as European Citizens, nor do they understand or appreciate the work that CSOs do. In an increasingly digital and globalised society, civil society is not connecting with the </w:t>
            </w:r>
            <w:proofErr w:type="gramStart"/>
            <w:r>
              <w:t>general public</w:t>
            </w:r>
            <w:proofErr w:type="gramEnd"/>
            <w:r>
              <w:t xml:space="preserve"> enough to combat the overwhelming wave of disinformation, hate speech and polarising rhetoric in the online world. In Ireland, </w:t>
            </w:r>
            <w:proofErr w:type="gramStart"/>
            <w:r>
              <w:t>we’re</w:t>
            </w:r>
            <w:proofErr w:type="gramEnd"/>
            <w:r>
              <w:t xml:space="preserve"> seeing the impact this has on a sector that has been increasingly hit with crisis after crisis (recession, refugee crisis, COVID, the war on Ukraine, the cost of living, etc.). There has been no respite, and increasingly the </w:t>
            </w:r>
            <w:proofErr w:type="gramStart"/>
            <w:r>
              <w:t>general public</w:t>
            </w:r>
            <w:proofErr w:type="gramEnd"/>
            <w:r>
              <w:t xml:space="preserve"> is unaware, apathetic and even suspicious of the vital work they do. The sector in facing an alarming level of burnout and low morale, and it reports not having the skills to keep up with our changing society. This is also evident across Europe, and is especially alarming in </w:t>
            </w:r>
            <w:proofErr w:type="gramStart"/>
            <w:r>
              <w:t>the a</w:t>
            </w:r>
            <w:proofErr w:type="gramEnd"/>
            <w:r>
              <w:t xml:space="preserve"> shrinking civic space. </w:t>
            </w:r>
          </w:p>
          <w:p w14:paraId="7C07C44A" w14:textId="510234C1" w:rsidR="007B46E3" w:rsidRDefault="007B46E3" w:rsidP="007B46E3"/>
          <w:p w14:paraId="6FA54237" w14:textId="25C60C64" w:rsidR="007B46E3" w:rsidRPr="00D80C58" w:rsidRDefault="007B46E3" w:rsidP="007B46E3">
            <w:pPr>
              <w:rPr>
                <w:b/>
              </w:rPr>
            </w:pPr>
            <w:r w:rsidRPr="00D80C58">
              <w:rPr>
                <w:b/>
              </w:rPr>
              <w:t xml:space="preserve">Solution: </w:t>
            </w:r>
          </w:p>
          <w:p w14:paraId="39D6216C" w14:textId="5DE92C94" w:rsidR="00D80C58" w:rsidRDefault="00D80C58" w:rsidP="007B46E3">
            <w:proofErr w:type="spellStart"/>
            <w:r>
              <w:t>WeAct</w:t>
            </w:r>
            <w:proofErr w:type="spellEnd"/>
            <w:r>
              <w:t xml:space="preserve"> focuses on solving this issue through campaigning and capacity building. We campaign to the public about the vital work that CSOs do, and we build CSOs capacity to tell their own story. </w:t>
            </w:r>
          </w:p>
          <w:p w14:paraId="55600FAB" w14:textId="6145EE28" w:rsidR="00D80C58" w:rsidRDefault="00D80C58" w:rsidP="007B46E3"/>
          <w:p w14:paraId="475A242D" w14:textId="17C163B4" w:rsidR="00D80C58" w:rsidRDefault="00D80C58" w:rsidP="007B46E3">
            <w:r>
              <w:t xml:space="preserve">In </w:t>
            </w:r>
            <w:proofErr w:type="spellStart"/>
            <w:r>
              <w:t>WeAct</w:t>
            </w:r>
            <w:proofErr w:type="spellEnd"/>
            <w:r>
              <w:t xml:space="preserve"> 4 EU Rights, we will accelerate the work that we have been doing in this space, and root it firmly in how the sector delivers on the EU Charter of Fundamental Rights. </w:t>
            </w:r>
          </w:p>
          <w:p w14:paraId="711AAB82" w14:textId="27328022" w:rsidR="00D80C58" w:rsidRDefault="00D80C58" w:rsidP="007B46E3"/>
          <w:p w14:paraId="4D76A72F" w14:textId="2EDB39BD" w:rsidR="00D80C58" w:rsidRDefault="00D80C58" w:rsidP="007B46E3">
            <w:r>
              <w:t xml:space="preserve">It will comprise three main elements: </w:t>
            </w:r>
          </w:p>
          <w:p w14:paraId="2B42D0CB" w14:textId="3D50BA03" w:rsidR="00D80C58" w:rsidRDefault="00D80C58" w:rsidP="007B46E3"/>
          <w:p w14:paraId="5CFCDCC1" w14:textId="75B214B1" w:rsidR="00D80C58" w:rsidRDefault="00D80C58" w:rsidP="00D80C58">
            <w:pPr>
              <w:pStyle w:val="ListParagraph"/>
              <w:numPr>
                <w:ilvl w:val="0"/>
                <w:numId w:val="46"/>
              </w:numPr>
            </w:pPr>
            <w:r>
              <w:t>Capacity Building: A series of storytelling</w:t>
            </w:r>
            <w:proofErr w:type="gramStart"/>
            <w:r>
              <w:t>,  digital</w:t>
            </w:r>
            <w:proofErr w:type="gramEnd"/>
            <w:r>
              <w:t xml:space="preserve"> campaigning and media literacy training with CSO groups to help them communicate their work more effectively and counteract online disinformation, hate speech, and polarisation.</w:t>
            </w:r>
            <w:r w:rsidR="00E90154">
              <w:t xml:space="preserve"> The content of this training will be rooted in the European context with the goal of helping sector representatives to feel part of a wider European context, foster EU solidarity, and encourage more participation in EU policy and funding programmes to support their work. </w:t>
            </w:r>
          </w:p>
          <w:p w14:paraId="21265750" w14:textId="02160CDC" w:rsidR="00847F4B" w:rsidRPr="00847F4B" w:rsidRDefault="00E90154" w:rsidP="00D80C58">
            <w:pPr>
              <w:pStyle w:val="ListParagraph"/>
              <w:numPr>
                <w:ilvl w:val="0"/>
                <w:numId w:val="46"/>
              </w:numPr>
            </w:pPr>
            <w:r>
              <w:t xml:space="preserve">Campaigning: We have an ambitious campaigning strategy in this </w:t>
            </w:r>
            <w:proofErr w:type="gramStart"/>
            <w:r>
              <w:t>project which</w:t>
            </w:r>
            <w:proofErr w:type="gramEnd"/>
            <w:r>
              <w:t xml:space="preserve"> will include social media, video, media, and other channels. The goal is to instil a sense of connection to EU fundamental rights and the key role that CSOs play in fostering that </w:t>
            </w:r>
            <w:r>
              <w:lastRenderedPageBreak/>
              <w:t xml:space="preserve">for </w:t>
            </w:r>
            <w:proofErr w:type="gramStart"/>
            <w:r>
              <w:t>each and every</w:t>
            </w:r>
            <w:proofErr w:type="gramEnd"/>
            <w:r>
              <w:t xml:space="preserve"> EU citizen. The video and social media aspect of the campaign will focus on the </w:t>
            </w:r>
            <w:proofErr w:type="gramStart"/>
            <w:r>
              <w:t>6</w:t>
            </w:r>
            <w:proofErr w:type="gramEnd"/>
            <w:r>
              <w:t xml:space="preserve"> chapters of the charter, e.g. #WeAct4Dignity, #WeAct4Freedoms, #WeAct4Equality etc. We will create a series of 24 videos highlighting three sector stories connected to three articles under each of chapters. </w:t>
            </w:r>
            <w:r w:rsidR="00847F4B">
              <w:t xml:space="preserve">For example, a video on various women’s rights organisations such as the National Women’s Council, Women’s Aid, and Women for Election for </w:t>
            </w:r>
            <w:r w:rsidR="00847F4B" w:rsidRPr="00847F4B">
              <w:t>“Article 23: Equality between men and women – this does not prevent positive measures for to give advantages to the under-represented gender (in a workplace for example).”</w:t>
            </w:r>
          </w:p>
          <w:p w14:paraId="3D07285A" w14:textId="77777777" w:rsidR="00847F4B" w:rsidRDefault="00E90154" w:rsidP="00847F4B">
            <w:pPr>
              <w:pStyle w:val="ListParagraph"/>
            </w:pPr>
            <w:r>
              <w:t xml:space="preserve">We’ll also encourage </w:t>
            </w:r>
            <w:r w:rsidR="00847F4B">
              <w:t xml:space="preserve">sector organisations (especially those trained in the capacity building phase of the project) to tell their stories and connect with the chapter or article of the EU Charter that best relates to their work so that they can also spread the word. </w:t>
            </w:r>
          </w:p>
          <w:p w14:paraId="597B17F9" w14:textId="77777777" w:rsidR="00C44B65" w:rsidRDefault="00847F4B" w:rsidP="00D07876">
            <w:pPr>
              <w:pStyle w:val="ListParagraph"/>
              <w:numPr>
                <w:ilvl w:val="0"/>
                <w:numId w:val="46"/>
              </w:numPr>
            </w:pPr>
            <w:r>
              <w:t xml:space="preserve">Europeanisation: </w:t>
            </w:r>
            <w:proofErr w:type="spellStart"/>
            <w:r>
              <w:t>WeAct</w:t>
            </w:r>
            <w:proofErr w:type="spellEnd"/>
            <w:r>
              <w:t xml:space="preserve"> had huge potential to spread throughout Europe and to </w:t>
            </w:r>
            <w:proofErr w:type="gramStart"/>
            <w:r>
              <w:t>be replicated</w:t>
            </w:r>
            <w:proofErr w:type="gramEnd"/>
            <w:r>
              <w:t xml:space="preserve"> elsewhere in order to promote, celebrate and protect EU Civic Space. We will work closely with our pan EU partners throughout the project to (a) help embed the EU perspective throughout the capacity building and awareness raising phases of the project, (b) bring the campaign and stories told to that </w:t>
            </w:r>
            <w:r w:rsidRPr="00847F4B">
              <w:t>E</w:t>
            </w:r>
            <w:r>
              <w:t xml:space="preserve">U level by disseminating via their </w:t>
            </w:r>
            <w:r w:rsidR="00C44B65">
              <w:t xml:space="preserve">extensive networks, and (c) work together on a number of outputs that would bring </w:t>
            </w:r>
            <w:proofErr w:type="spellStart"/>
            <w:r w:rsidR="00C44B65">
              <w:t>WeAct</w:t>
            </w:r>
            <w:proofErr w:type="spellEnd"/>
            <w:r w:rsidR="00C44B65">
              <w:t xml:space="preserve"> to the EU level including </w:t>
            </w:r>
          </w:p>
          <w:p w14:paraId="5DC4CCC9" w14:textId="77777777" w:rsidR="00C44B65" w:rsidRDefault="00C44B65" w:rsidP="00C44B65">
            <w:pPr>
              <w:pStyle w:val="ListParagraph"/>
              <w:numPr>
                <w:ilvl w:val="0"/>
                <w:numId w:val="47"/>
              </w:numPr>
            </w:pPr>
            <w:r>
              <w:t xml:space="preserve">A Policy Paper on the Role of CSOs in protecting the EU Charter of Fundamental rights, with a number of recommended measures to support that. This </w:t>
            </w:r>
            <w:proofErr w:type="gramStart"/>
            <w:r>
              <w:t>will be presented</w:t>
            </w:r>
            <w:proofErr w:type="gramEnd"/>
            <w:r>
              <w:t xml:space="preserve"> to EU decision makers at a final conference bringing together those decision makers and CSO representatives in Month 23 of the project. </w:t>
            </w:r>
          </w:p>
          <w:p w14:paraId="75CBBFFE" w14:textId="240879FC" w:rsidR="007B46E3" w:rsidRPr="00847F4B" w:rsidRDefault="00C44B65" w:rsidP="00C44B65">
            <w:pPr>
              <w:pStyle w:val="ListParagraph"/>
              <w:numPr>
                <w:ilvl w:val="0"/>
                <w:numId w:val="47"/>
              </w:numPr>
            </w:pPr>
            <w:r>
              <w:t xml:space="preserve">A “Campaign in a Box” which that can be dissemination through the networks of our pan EU </w:t>
            </w:r>
            <w:proofErr w:type="gramStart"/>
            <w:r>
              <w:t>partners</w:t>
            </w:r>
            <w:proofErr w:type="gramEnd"/>
            <w:r>
              <w:t xml:space="preserve"> for replication throughout the member states. This will include extensive campaigning guidelines, videos, templates, and other materials to allow other groups throughout Europe to follow this campaign. This will be translated </w:t>
            </w:r>
            <w:r w:rsidR="00DA25CB">
              <w:t xml:space="preserve">into </w:t>
            </w:r>
            <w:proofErr w:type="gramStart"/>
            <w:r w:rsidR="00DA25CB">
              <w:t>French,</w:t>
            </w:r>
            <w:proofErr w:type="gramEnd"/>
            <w:r w:rsidR="00DA25CB">
              <w:t xml:space="preserve"> Italian and German so that, along with English, it can cover the four most spoken languages in Europe to enable better transferability throughout Europe. Together with our pan-EU partners, we will bring the campaign to EU level and pave the way for a future project that would build even further to a stronger EU campaign. </w:t>
            </w:r>
          </w:p>
          <w:p w14:paraId="7A640883" w14:textId="77777777" w:rsidR="007B46E3" w:rsidRDefault="007B46E3" w:rsidP="00D07876">
            <w:pPr>
              <w:rPr>
                <w:rFonts w:ascii="Cambria" w:hAnsi="Cambria" w:cs="Tahoma"/>
                <w:i/>
              </w:rPr>
            </w:pPr>
          </w:p>
          <w:p w14:paraId="5548F799" w14:textId="6EC2E46F" w:rsidR="00C26DF7" w:rsidRPr="002A1DCC" w:rsidRDefault="00C26DF7" w:rsidP="00D07876">
            <w:pPr>
              <w:rPr>
                <w:rFonts w:ascii="Cambria" w:hAnsi="Cambria" w:cs="Tahoma"/>
                <w:i/>
              </w:rPr>
            </w:pPr>
          </w:p>
        </w:tc>
      </w:tr>
      <w:tr w:rsidR="00E90154" w:rsidRPr="002A1DCC" w14:paraId="1B93036B" w14:textId="77777777" w:rsidTr="00E90154">
        <w:tc>
          <w:tcPr>
            <w:tcW w:w="2624" w:type="dxa"/>
            <w:vAlign w:val="center"/>
          </w:tcPr>
          <w:p w14:paraId="71F6CFD3" w14:textId="77777777" w:rsidR="00E90154" w:rsidRPr="002A1DCC" w:rsidRDefault="00E90154" w:rsidP="00E90154">
            <w:pPr>
              <w:tabs>
                <w:tab w:val="left" w:pos="4592"/>
              </w:tabs>
              <w:rPr>
                <w:rFonts w:ascii="Cambria" w:hAnsi="Cambria" w:cs="Tahoma"/>
                <w:lang w:val="en-IE"/>
              </w:rPr>
            </w:pPr>
            <w:r w:rsidRPr="002A1DCC">
              <w:rPr>
                <w:rFonts w:ascii="Cambria" w:hAnsi="Cambria" w:cs="Tahoma"/>
                <w:lang w:val="en-IE"/>
              </w:rPr>
              <w:lastRenderedPageBreak/>
              <w:t>Key outputs/activities/events   of this project:</w:t>
            </w:r>
          </w:p>
          <w:p w14:paraId="2650ED1C" w14:textId="77777777" w:rsidR="00E90154" w:rsidRPr="002A1DCC" w:rsidRDefault="00E90154" w:rsidP="00D07876">
            <w:pPr>
              <w:tabs>
                <w:tab w:val="left" w:pos="4592"/>
              </w:tabs>
              <w:rPr>
                <w:rFonts w:ascii="Cambria" w:hAnsi="Cambria" w:cs="Tahoma"/>
                <w:lang w:val="en-IE"/>
              </w:rPr>
            </w:pPr>
          </w:p>
        </w:tc>
        <w:tc>
          <w:tcPr>
            <w:tcW w:w="7010" w:type="dxa"/>
            <w:tcBorders>
              <w:top w:val="single" w:sz="4" w:space="0" w:color="auto"/>
              <w:bottom w:val="single" w:sz="4" w:space="0" w:color="auto"/>
            </w:tcBorders>
            <w:vAlign w:val="center"/>
          </w:tcPr>
          <w:p w14:paraId="1FECDE9C" w14:textId="5EA9C03B" w:rsidR="00DA25CB" w:rsidRDefault="00DA25CB" w:rsidP="00D07876">
            <w:pPr>
              <w:rPr>
                <w:rFonts w:ascii="Cambria" w:hAnsi="Cambria" w:cs="Tahoma"/>
                <w:i/>
              </w:rPr>
            </w:pPr>
            <w:r>
              <w:rPr>
                <w:rFonts w:ascii="Cambria" w:hAnsi="Cambria" w:cs="Tahoma"/>
                <w:i/>
              </w:rPr>
              <w:t>Activity 1: Project Initiation (months 1 – 3)</w:t>
            </w:r>
          </w:p>
          <w:p w14:paraId="31407638" w14:textId="11041392" w:rsidR="00DA25CB" w:rsidRDefault="00DA25CB" w:rsidP="00D07876">
            <w:pPr>
              <w:rPr>
                <w:rFonts w:ascii="Cambria" w:hAnsi="Cambria" w:cs="Tahoma"/>
                <w:i/>
              </w:rPr>
            </w:pPr>
          </w:p>
          <w:p w14:paraId="646F779E" w14:textId="7D6683F5" w:rsidR="00DA25CB" w:rsidRPr="00EC1037" w:rsidRDefault="00DA25CB" w:rsidP="00DA25CB">
            <w:pPr>
              <w:pStyle w:val="ListParagraph"/>
              <w:numPr>
                <w:ilvl w:val="0"/>
                <w:numId w:val="47"/>
              </w:numPr>
              <w:rPr>
                <w:rFonts w:ascii="Cambria" w:hAnsi="Cambria" w:cs="Tahoma"/>
              </w:rPr>
            </w:pPr>
            <w:r w:rsidRPr="00EC1037">
              <w:rPr>
                <w:rFonts w:ascii="Cambria" w:hAnsi="Cambria" w:cs="Tahoma"/>
              </w:rPr>
              <w:t xml:space="preserve">Initial meetings and planning </w:t>
            </w:r>
          </w:p>
          <w:p w14:paraId="60E1419E" w14:textId="4B89C401" w:rsidR="00DA25CB" w:rsidRPr="00EC1037" w:rsidRDefault="00DA25CB" w:rsidP="00DA25CB">
            <w:pPr>
              <w:pStyle w:val="ListParagraph"/>
              <w:numPr>
                <w:ilvl w:val="0"/>
                <w:numId w:val="47"/>
              </w:numPr>
              <w:rPr>
                <w:rFonts w:ascii="Cambria" w:hAnsi="Cambria" w:cs="Tahoma"/>
              </w:rPr>
            </w:pPr>
            <w:r w:rsidRPr="00EC1037">
              <w:rPr>
                <w:rFonts w:ascii="Cambria" w:hAnsi="Cambria" w:cs="Tahoma"/>
              </w:rPr>
              <w:t xml:space="preserve">Updating of websites and public announcements </w:t>
            </w:r>
          </w:p>
          <w:p w14:paraId="7F313ACB" w14:textId="5744F363" w:rsidR="00DA25CB" w:rsidRPr="00EC1037" w:rsidRDefault="00DA25CB" w:rsidP="00DA25CB">
            <w:pPr>
              <w:pStyle w:val="ListParagraph"/>
              <w:numPr>
                <w:ilvl w:val="0"/>
                <w:numId w:val="47"/>
              </w:numPr>
              <w:rPr>
                <w:rFonts w:ascii="Cambria" w:hAnsi="Cambria" w:cs="Tahoma"/>
              </w:rPr>
            </w:pPr>
            <w:r w:rsidRPr="00EC1037">
              <w:rPr>
                <w:rFonts w:ascii="Cambria" w:hAnsi="Cambria" w:cs="Tahoma"/>
              </w:rPr>
              <w:t xml:space="preserve">Securing contractors such as video makers </w:t>
            </w:r>
          </w:p>
          <w:p w14:paraId="0B3A123B" w14:textId="5DACEC48" w:rsidR="00DA25CB" w:rsidRPr="00EC1037" w:rsidRDefault="00F47692" w:rsidP="00DA25CB">
            <w:pPr>
              <w:pStyle w:val="ListParagraph"/>
              <w:numPr>
                <w:ilvl w:val="0"/>
                <w:numId w:val="47"/>
              </w:numPr>
              <w:rPr>
                <w:rFonts w:ascii="Cambria" w:hAnsi="Cambria" w:cs="Tahoma"/>
              </w:rPr>
            </w:pPr>
            <w:r w:rsidRPr="00EC1037">
              <w:rPr>
                <w:rFonts w:ascii="Cambria" w:hAnsi="Cambria" w:cs="Tahoma"/>
              </w:rPr>
              <w:t xml:space="preserve">Mapping potential organisations to feature in campaign </w:t>
            </w:r>
          </w:p>
          <w:p w14:paraId="28F2E048" w14:textId="0892EB6C" w:rsidR="00DA25CB" w:rsidRDefault="00DA25CB" w:rsidP="00D07876">
            <w:pPr>
              <w:rPr>
                <w:rFonts w:ascii="Cambria" w:hAnsi="Cambria" w:cs="Tahoma"/>
                <w:i/>
              </w:rPr>
            </w:pPr>
          </w:p>
          <w:p w14:paraId="75A32E04" w14:textId="034A295A" w:rsidR="00DA25CB" w:rsidRDefault="00DA25CB" w:rsidP="00D07876">
            <w:pPr>
              <w:rPr>
                <w:rFonts w:ascii="Cambria" w:hAnsi="Cambria" w:cs="Tahoma"/>
                <w:i/>
              </w:rPr>
            </w:pPr>
            <w:r>
              <w:rPr>
                <w:rFonts w:ascii="Cambria" w:hAnsi="Cambria" w:cs="Tahoma"/>
                <w:i/>
              </w:rPr>
              <w:t>Activity 2: Content preparation (months 4 – 9)</w:t>
            </w:r>
          </w:p>
          <w:p w14:paraId="4F2122F5" w14:textId="4546F2DD" w:rsidR="00F47692" w:rsidRDefault="00F47692" w:rsidP="00D07876">
            <w:pPr>
              <w:rPr>
                <w:rFonts w:ascii="Cambria" w:hAnsi="Cambria" w:cs="Tahoma"/>
                <w:i/>
              </w:rPr>
            </w:pPr>
          </w:p>
          <w:p w14:paraId="4DDFDB4E" w14:textId="07ED1547" w:rsidR="00F47692" w:rsidRPr="00EC1037" w:rsidRDefault="00F47692" w:rsidP="00F47692">
            <w:pPr>
              <w:pStyle w:val="ListParagraph"/>
              <w:numPr>
                <w:ilvl w:val="0"/>
                <w:numId w:val="47"/>
              </w:numPr>
              <w:rPr>
                <w:rFonts w:ascii="Cambria" w:hAnsi="Cambria" w:cs="Tahoma"/>
              </w:rPr>
            </w:pPr>
            <w:r w:rsidRPr="00EC1037">
              <w:rPr>
                <w:rFonts w:ascii="Cambria" w:hAnsi="Cambria" w:cs="Tahoma"/>
              </w:rPr>
              <w:t>Preparing content for training in consultation with experts including Media Literacy Ireland</w:t>
            </w:r>
          </w:p>
          <w:p w14:paraId="2D55F832" w14:textId="48558E64" w:rsidR="00F47692" w:rsidRPr="00EC1037" w:rsidRDefault="00F47692" w:rsidP="00F47692">
            <w:pPr>
              <w:pStyle w:val="ListParagraph"/>
              <w:numPr>
                <w:ilvl w:val="0"/>
                <w:numId w:val="47"/>
              </w:numPr>
              <w:rPr>
                <w:rFonts w:ascii="Cambria" w:hAnsi="Cambria" w:cs="Tahoma"/>
              </w:rPr>
            </w:pPr>
            <w:r w:rsidRPr="00EC1037">
              <w:rPr>
                <w:rFonts w:ascii="Cambria" w:hAnsi="Cambria" w:cs="Tahoma"/>
              </w:rPr>
              <w:lastRenderedPageBreak/>
              <w:t xml:space="preserve">Preparing 24 videos for campaign </w:t>
            </w:r>
          </w:p>
          <w:p w14:paraId="0D458221" w14:textId="7D996146" w:rsidR="00F47692" w:rsidRPr="00EC1037" w:rsidRDefault="00F47692" w:rsidP="00F47692">
            <w:pPr>
              <w:pStyle w:val="ListParagraph"/>
              <w:numPr>
                <w:ilvl w:val="0"/>
                <w:numId w:val="47"/>
              </w:numPr>
              <w:rPr>
                <w:rFonts w:ascii="Cambria" w:hAnsi="Cambria" w:cs="Tahoma"/>
              </w:rPr>
            </w:pPr>
            <w:r w:rsidRPr="00EC1037">
              <w:rPr>
                <w:rFonts w:ascii="Cambria" w:hAnsi="Cambria" w:cs="Tahoma"/>
              </w:rPr>
              <w:t xml:space="preserve">Preparing readymade social media posts, graphics, press releases, templates, etc. </w:t>
            </w:r>
          </w:p>
          <w:p w14:paraId="0035C37A" w14:textId="0BC0EFD2" w:rsidR="00EC1037" w:rsidRPr="00EC1037" w:rsidRDefault="00EC1037" w:rsidP="00F47692">
            <w:pPr>
              <w:pStyle w:val="ListParagraph"/>
              <w:numPr>
                <w:ilvl w:val="0"/>
                <w:numId w:val="47"/>
              </w:numPr>
              <w:rPr>
                <w:rFonts w:ascii="Cambria" w:hAnsi="Cambria" w:cs="Tahoma"/>
              </w:rPr>
            </w:pPr>
            <w:r w:rsidRPr="00EC1037">
              <w:rPr>
                <w:rFonts w:ascii="Cambria" w:hAnsi="Cambria" w:cs="Tahoma"/>
              </w:rPr>
              <w:t>Building “Campaign in a Box” Toolkit</w:t>
            </w:r>
          </w:p>
          <w:p w14:paraId="341DEDEA" w14:textId="7B3CF036" w:rsidR="00DA25CB" w:rsidRDefault="00DA25CB" w:rsidP="00D07876">
            <w:pPr>
              <w:rPr>
                <w:rFonts w:ascii="Cambria" w:hAnsi="Cambria" w:cs="Tahoma"/>
                <w:i/>
              </w:rPr>
            </w:pPr>
          </w:p>
          <w:p w14:paraId="6BD84F63" w14:textId="78B9DB41" w:rsidR="00DA25CB" w:rsidRDefault="00DA25CB" w:rsidP="00D07876">
            <w:pPr>
              <w:rPr>
                <w:rFonts w:ascii="Cambria" w:hAnsi="Cambria" w:cs="Tahoma"/>
                <w:i/>
              </w:rPr>
            </w:pPr>
            <w:r>
              <w:rPr>
                <w:rFonts w:ascii="Cambria" w:hAnsi="Cambria" w:cs="Tahoma"/>
                <w:i/>
              </w:rPr>
              <w:t xml:space="preserve">Activity 3: </w:t>
            </w:r>
            <w:r w:rsidR="00F47692">
              <w:rPr>
                <w:rFonts w:ascii="Cambria" w:hAnsi="Cambria" w:cs="Tahoma"/>
                <w:i/>
              </w:rPr>
              <w:t xml:space="preserve">Capacity Building (months 9 – 12) </w:t>
            </w:r>
          </w:p>
          <w:p w14:paraId="7CEAFFCF" w14:textId="77777777" w:rsidR="00F47692" w:rsidRDefault="00F47692" w:rsidP="00D07876">
            <w:pPr>
              <w:rPr>
                <w:rFonts w:ascii="Cambria" w:hAnsi="Cambria" w:cs="Tahoma"/>
                <w:i/>
              </w:rPr>
            </w:pPr>
          </w:p>
          <w:p w14:paraId="2E08C7E9" w14:textId="3E67C79D" w:rsidR="00F47692" w:rsidRPr="00EC1037" w:rsidRDefault="00F47692" w:rsidP="00F47692">
            <w:pPr>
              <w:pStyle w:val="ListParagraph"/>
              <w:numPr>
                <w:ilvl w:val="0"/>
                <w:numId w:val="47"/>
              </w:numPr>
              <w:rPr>
                <w:rFonts w:ascii="Cambria" w:hAnsi="Cambria" w:cs="Tahoma"/>
              </w:rPr>
            </w:pPr>
            <w:r w:rsidRPr="00EC1037">
              <w:rPr>
                <w:rFonts w:ascii="Cambria" w:hAnsi="Cambria" w:cs="Tahoma"/>
              </w:rPr>
              <w:t>Training series on storytelling and aligning communications with the EU Charter – finding which #</w:t>
            </w:r>
            <w:proofErr w:type="spellStart"/>
            <w:r w:rsidRPr="00EC1037">
              <w:rPr>
                <w:rFonts w:ascii="Cambria" w:hAnsi="Cambria" w:cs="Tahoma"/>
              </w:rPr>
              <w:t>WeAct</w:t>
            </w:r>
            <w:proofErr w:type="spellEnd"/>
            <w:r w:rsidRPr="00EC1037">
              <w:rPr>
                <w:rFonts w:ascii="Cambria" w:hAnsi="Cambria" w:cs="Tahoma"/>
              </w:rPr>
              <w:t xml:space="preserve"> applies to your organisations (e.g. #WeAct4Equality, #WeAct4Freedoms). This includes training on digital storytelling, </w:t>
            </w:r>
            <w:r w:rsidR="00EC1037" w:rsidRPr="00EC1037">
              <w:rPr>
                <w:rFonts w:ascii="Cambria" w:hAnsi="Cambria" w:cs="Tahoma"/>
              </w:rPr>
              <w:t>campaigning, media</w:t>
            </w:r>
            <w:r w:rsidRPr="00EC1037">
              <w:rPr>
                <w:rFonts w:ascii="Cambria" w:hAnsi="Cambria" w:cs="Tahoma"/>
              </w:rPr>
              <w:t xml:space="preserve"> literacy, writing press releases, engaging with the press, connecting work to policy, advocacy, </w:t>
            </w:r>
            <w:r w:rsidR="00EC1037" w:rsidRPr="00EC1037">
              <w:rPr>
                <w:rFonts w:ascii="Cambria" w:hAnsi="Cambria" w:cs="Tahoma"/>
              </w:rPr>
              <w:t xml:space="preserve">connecting with broader EU policy, engaging in EU programmes, </w:t>
            </w:r>
            <w:r w:rsidRPr="00EC1037">
              <w:rPr>
                <w:rFonts w:ascii="Cambria" w:hAnsi="Cambria" w:cs="Tahoma"/>
              </w:rPr>
              <w:t xml:space="preserve">etc. </w:t>
            </w:r>
          </w:p>
          <w:p w14:paraId="59D94A0C" w14:textId="0FC43566" w:rsidR="00F47692" w:rsidRDefault="00F47692" w:rsidP="00F47692">
            <w:pPr>
              <w:pStyle w:val="ListParagraph"/>
              <w:numPr>
                <w:ilvl w:val="0"/>
                <w:numId w:val="47"/>
              </w:numPr>
              <w:rPr>
                <w:rFonts w:ascii="Cambria" w:hAnsi="Cambria" w:cs="Tahoma"/>
              </w:rPr>
            </w:pPr>
            <w:r w:rsidRPr="00EC1037">
              <w:rPr>
                <w:rFonts w:ascii="Cambria" w:hAnsi="Cambria" w:cs="Tahoma"/>
              </w:rPr>
              <w:t>Each organisation will be invited to participate in the campaign which launched in Month 13</w:t>
            </w:r>
          </w:p>
          <w:p w14:paraId="754138CF" w14:textId="42C218E4" w:rsidR="00EC1037" w:rsidRPr="00EC1037" w:rsidRDefault="00EC1037" w:rsidP="00EC1037">
            <w:pPr>
              <w:pStyle w:val="ListParagraph"/>
              <w:numPr>
                <w:ilvl w:val="0"/>
                <w:numId w:val="47"/>
              </w:numPr>
              <w:rPr>
                <w:rFonts w:ascii="Cambria" w:hAnsi="Cambria" w:cs="Tahoma"/>
              </w:rPr>
            </w:pPr>
            <w:r>
              <w:rPr>
                <w:rFonts w:ascii="Cambria" w:hAnsi="Cambria" w:cs="Tahoma"/>
              </w:rPr>
              <w:t xml:space="preserve">The </w:t>
            </w:r>
            <w:r w:rsidRPr="00EC1037">
              <w:rPr>
                <w:rFonts w:ascii="Cambria" w:hAnsi="Cambria" w:cs="Tahoma"/>
              </w:rPr>
              <w:t>“Campaign in a Box” Toolkit</w:t>
            </w:r>
            <w:r>
              <w:rPr>
                <w:rFonts w:ascii="Cambria" w:hAnsi="Cambria" w:cs="Tahoma"/>
              </w:rPr>
              <w:t xml:space="preserve"> will be finalised based on feedback and ideas generated throughout delivery of the capacity building activity </w:t>
            </w:r>
          </w:p>
          <w:p w14:paraId="303BDAC5" w14:textId="59709A67" w:rsidR="00F47692" w:rsidRDefault="00F47692" w:rsidP="00F47692">
            <w:pPr>
              <w:rPr>
                <w:rFonts w:ascii="Cambria" w:hAnsi="Cambria" w:cs="Tahoma"/>
                <w:i/>
              </w:rPr>
            </w:pPr>
          </w:p>
          <w:p w14:paraId="06C83CE2" w14:textId="6FB529F8" w:rsidR="00EC1037" w:rsidRDefault="00EC1037" w:rsidP="00F47692">
            <w:pPr>
              <w:rPr>
                <w:rFonts w:ascii="Cambria" w:hAnsi="Cambria" w:cs="Tahoma"/>
                <w:i/>
              </w:rPr>
            </w:pPr>
            <w:r>
              <w:rPr>
                <w:rFonts w:ascii="Cambria" w:hAnsi="Cambria" w:cs="Tahoma"/>
                <w:i/>
              </w:rPr>
              <w:t>Activity 4: Awareness Raising (Months 13 –</w:t>
            </w:r>
            <w:r w:rsidR="002A4EB5">
              <w:rPr>
                <w:rFonts w:ascii="Cambria" w:hAnsi="Cambria" w:cs="Tahoma"/>
                <w:i/>
              </w:rPr>
              <w:t xml:space="preserve"> 20</w:t>
            </w:r>
            <w:r>
              <w:rPr>
                <w:rFonts w:ascii="Cambria" w:hAnsi="Cambria" w:cs="Tahoma"/>
                <w:i/>
              </w:rPr>
              <w:t xml:space="preserve">) </w:t>
            </w:r>
          </w:p>
          <w:p w14:paraId="2C0CC592" w14:textId="01044A02" w:rsidR="00EC1037" w:rsidRDefault="00EC1037" w:rsidP="00F47692">
            <w:pPr>
              <w:rPr>
                <w:rFonts w:ascii="Cambria" w:hAnsi="Cambria" w:cs="Tahoma"/>
                <w:i/>
              </w:rPr>
            </w:pPr>
          </w:p>
          <w:p w14:paraId="1C97EBA5" w14:textId="2C93B631" w:rsidR="00EC1037" w:rsidRPr="00EC1037" w:rsidRDefault="00EC1037" w:rsidP="00EC1037">
            <w:pPr>
              <w:pStyle w:val="ListParagraph"/>
              <w:numPr>
                <w:ilvl w:val="0"/>
                <w:numId w:val="47"/>
              </w:numPr>
              <w:rPr>
                <w:rFonts w:ascii="Cambria" w:hAnsi="Cambria" w:cs="Tahoma"/>
                <w:i/>
              </w:rPr>
            </w:pPr>
            <w:r>
              <w:rPr>
                <w:rFonts w:ascii="Cambria" w:hAnsi="Cambria" w:cs="Tahoma"/>
              </w:rPr>
              <w:t xml:space="preserve">An ambitious campaign with the goal of </w:t>
            </w:r>
          </w:p>
          <w:p w14:paraId="1EE24691" w14:textId="0E1BF69D" w:rsidR="00EC1037" w:rsidRDefault="00EC1037" w:rsidP="00EC1037">
            <w:pPr>
              <w:pStyle w:val="ListParagraph"/>
              <w:numPr>
                <w:ilvl w:val="0"/>
                <w:numId w:val="48"/>
              </w:numPr>
              <w:rPr>
                <w:rFonts w:ascii="Cambria" w:hAnsi="Cambria" w:cs="Tahoma"/>
                <w:i/>
              </w:rPr>
            </w:pPr>
            <w:r>
              <w:rPr>
                <w:rFonts w:ascii="Cambria" w:hAnsi="Cambria" w:cs="Tahoma"/>
                <w:i/>
              </w:rPr>
              <w:t>X views on videos</w:t>
            </w:r>
          </w:p>
          <w:p w14:paraId="0DF057E8" w14:textId="6F30D7C6" w:rsidR="00EC1037" w:rsidRDefault="00EC1037" w:rsidP="00EC1037">
            <w:pPr>
              <w:pStyle w:val="ListParagraph"/>
              <w:numPr>
                <w:ilvl w:val="0"/>
                <w:numId w:val="48"/>
              </w:numPr>
              <w:rPr>
                <w:rFonts w:ascii="Cambria" w:hAnsi="Cambria" w:cs="Tahoma"/>
                <w:i/>
              </w:rPr>
            </w:pPr>
            <w:r>
              <w:rPr>
                <w:rFonts w:ascii="Cambria" w:hAnsi="Cambria" w:cs="Tahoma"/>
                <w:i/>
              </w:rPr>
              <w:t>X interactions on social media</w:t>
            </w:r>
          </w:p>
          <w:p w14:paraId="3FD2B9F2" w14:textId="719C77A1" w:rsidR="00EC1037" w:rsidRDefault="00EC1037" w:rsidP="00EC1037">
            <w:pPr>
              <w:pStyle w:val="ListParagraph"/>
              <w:numPr>
                <w:ilvl w:val="0"/>
                <w:numId w:val="48"/>
              </w:numPr>
              <w:rPr>
                <w:rFonts w:ascii="Cambria" w:hAnsi="Cambria" w:cs="Tahoma"/>
                <w:i/>
              </w:rPr>
            </w:pPr>
            <w:r>
              <w:rPr>
                <w:rFonts w:ascii="Cambria" w:hAnsi="Cambria" w:cs="Tahoma"/>
                <w:i/>
              </w:rPr>
              <w:t xml:space="preserve">X features in the media </w:t>
            </w:r>
          </w:p>
          <w:p w14:paraId="2D13FF4E" w14:textId="58E644AF" w:rsidR="00EC1037" w:rsidRDefault="00EC1037" w:rsidP="00EC1037">
            <w:pPr>
              <w:pStyle w:val="ListParagraph"/>
              <w:numPr>
                <w:ilvl w:val="0"/>
                <w:numId w:val="48"/>
              </w:numPr>
              <w:rPr>
                <w:rFonts w:ascii="Cambria" w:hAnsi="Cambria" w:cs="Tahoma"/>
                <w:i/>
              </w:rPr>
            </w:pPr>
            <w:r>
              <w:rPr>
                <w:rFonts w:ascii="Cambria" w:hAnsi="Cambria" w:cs="Tahoma"/>
                <w:i/>
              </w:rPr>
              <w:t xml:space="preserve">??? </w:t>
            </w:r>
          </w:p>
          <w:p w14:paraId="14E5E4DD" w14:textId="6D369E4C" w:rsidR="00EC1037" w:rsidRDefault="00EC1037" w:rsidP="00EC1037">
            <w:pPr>
              <w:rPr>
                <w:rFonts w:ascii="Cambria" w:hAnsi="Cambria" w:cs="Tahoma"/>
                <w:i/>
              </w:rPr>
            </w:pPr>
          </w:p>
          <w:p w14:paraId="6363B5E1" w14:textId="2F3FF917" w:rsidR="00EC1037" w:rsidRPr="00EC1037" w:rsidRDefault="00EC1037" w:rsidP="00EC1037">
            <w:pPr>
              <w:pStyle w:val="ListParagraph"/>
              <w:numPr>
                <w:ilvl w:val="0"/>
                <w:numId w:val="47"/>
              </w:numPr>
              <w:rPr>
                <w:rFonts w:ascii="Cambria" w:hAnsi="Cambria" w:cs="Tahoma"/>
                <w:i/>
              </w:rPr>
            </w:pPr>
            <w:r>
              <w:rPr>
                <w:rFonts w:ascii="Cambria" w:hAnsi="Cambria" w:cs="Tahoma"/>
              </w:rPr>
              <w:t xml:space="preserve">The national campaign </w:t>
            </w:r>
            <w:proofErr w:type="gramStart"/>
            <w:r>
              <w:rPr>
                <w:rFonts w:ascii="Cambria" w:hAnsi="Cambria" w:cs="Tahoma"/>
              </w:rPr>
              <w:t>will be filtered</w:t>
            </w:r>
            <w:proofErr w:type="gramEnd"/>
            <w:r>
              <w:rPr>
                <w:rFonts w:ascii="Cambria" w:hAnsi="Cambria" w:cs="Tahoma"/>
              </w:rPr>
              <w:t xml:space="preserve"> through our pan-EU partners’ networks to reach the wider EU audience and generate even more engagement, which will be closely monitored throughout so we can record, share and highlight </w:t>
            </w:r>
            <w:proofErr w:type="spellStart"/>
            <w:r>
              <w:rPr>
                <w:rFonts w:ascii="Cambria" w:hAnsi="Cambria" w:cs="Tahoma"/>
              </w:rPr>
              <w:t>WeAct</w:t>
            </w:r>
            <w:proofErr w:type="spellEnd"/>
            <w:r>
              <w:rPr>
                <w:rFonts w:ascii="Cambria" w:hAnsi="Cambria" w:cs="Tahoma"/>
              </w:rPr>
              <w:t xml:space="preserve"> making its way through Europe. This will also allow us to map future partners for a potential all Europe #</w:t>
            </w:r>
            <w:proofErr w:type="spellStart"/>
            <w:r>
              <w:rPr>
                <w:rFonts w:ascii="Cambria" w:hAnsi="Cambria" w:cs="Tahoma"/>
              </w:rPr>
              <w:t>WeAct</w:t>
            </w:r>
            <w:proofErr w:type="spellEnd"/>
          </w:p>
          <w:p w14:paraId="60667B8D" w14:textId="63C88204" w:rsidR="00F47692" w:rsidRDefault="00EC1037" w:rsidP="00EC1037">
            <w:pPr>
              <w:pStyle w:val="ListParagraph"/>
              <w:numPr>
                <w:ilvl w:val="0"/>
                <w:numId w:val="47"/>
              </w:numPr>
              <w:rPr>
                <w:rFonts w:ascii="Cambria" w:hAnsi="Cambria" w:cs="Tahoma"/>
              </w:rPr>
            </w:pPr>
            <w:r w:rsidRPr="00EC1037">
              <w:rPr>
                <w:rFonts w:ascii="Cambria" w:hAnsi="Cambria" w:cs="Tahoma"/>
              </w:rPr>
              <w:t>All aspects of the campaign will be positioned around how each of the stories related to the Charter of Fundamental Human Rights, the importance of CSOs’ role in enforcing them, and what the public can do to better understand and support this vital work</w:t>
            </w:r>
          </w:p>
          <w:p w14:paraId="1E30D1A2" w14:textId="5FAADCDF" w:rsidR="002A4EB5" w:rsidRPr="002A4EB5" w:rsidRDefault="002A4EB5" w:rsidP="00EC1037">
            <w:pPr>
              <w:pStyle w:val="ListParagraph"/>
              <w:numPr>
                <w:ilvl w:val="0"/>
                <w:numId w:val="47"/>
              </w:numPr>
              <w:rPr>
                <w:rFonts w:ascii="Cambria" w:hAnsi="Cambria" w:cs="Tahoma"/>
                <w:highlight w:val="yellow"/>
              </w:rPr>
            </w:pPr>
            <w:proofErr w:type="gramStart"/>
            <w:r w:rsidRPr="002A4EB5">
              <w:rPr>
                <w:rFonts w:ascii="Cambria" w:hAnsi="Cambria" w:cs="Tahoma"/>
                <w:highlight w:val="yellow"/>
              </w:rPr>
              <w:t>Polling?</w:t>
            </w:r>
            <w:proofErr w:type="gramEnd"/>
            <w:r w:rsidRPr="002A4EB5">
              <w:rPr>
                <w:rFonts w:ascii="Cambria" w:hAnsi="Cambria" w:cs="Tahoma"/>
                <w:highlight w:val="yellow"/>
              </w:rPr>
              <w:t xml:space="preserve"> </w:t>
            </w:r>
          </w:p>
          <w:p w14:paraId="6D71C8B6" w14:textId="492F0F9E" w:rsidR="002A4EB5" w:rsidRDefault="002A4EB5" w:rsidP="002A4EB5">
            <w:pPr>
              <w:rPr>
                <w:rFonts w:ascii="Cambria" w:hAnsi="Cambria" w:cs="Tahoma"/>
              </w:rPr>
            </w:pPr>
          </w:p>
          <w:p w14:paraId="2D770DF2" w14:textId="353D712C" w:rsidR="002A4EB5" w:rsidRDefault="002A4EB5" w:rsidP="002A4EB5">
            <w:pPr>
              <w:rPr>
                <w:rFonts w:ascii="Cambria" w:hAnsi="Cambria" w:cs="Tahoma"/>
                <w:i/>
              </w:rPr>
            </w:pPr>
            <w:r w:rsidRPr="002A4EB5">
              <w:rPr>
                <w:rFonts w:ascii="Cambria" w:hAnsi="Cambria" w:cs="Tahoma"/>
                <w:i/>
              </w:rPr>
              <w:t xml:space="preserve">Activity 5: </w:t>
            </w:r>
            <w:r>
              <w:rPr>
                <w:rFonts w:ascii="Cambria" w:hAnsi="Cambria" w:cs="Tahoma"/>
                <w:i/>
              </w:rPr>
              <w:t>Finalisation and launch of public results</w:t>
            </w:r>
            <w:r w:rsidRPr="002A4EB5">
              <w:rPr>
                <w:rFonts w:ascii="Cambria" w:hAnsi="Cambria" w:cs="Tahoma"/>
                <w:i/>
              </w:rPr>
              <w:t xml:space="preserve"> (Months 30 – 24)</w:t>
            </w:r>
          </w:p>
          <w:p w14:paraId="4F2EFE11" w14:textId="58D5B59B" w:rsidR="002A4EB5" w:rsidRDefault="002A4EB5" w:rsidP="002A4EB5">
            <w:pPr>
              <w:rPr>
                <w:rFonts w:ascii="Cambria" w:hAnsi="Cambria" w:cs="Tahoma"/>
                <w:i/>
              </w:rPr>
            </w:pPr>
          </w:p>
          <w:p w14:paraId="19A4D693" w14:textId="0A116BC2" w:rsidR="002A4EB5" w:rsidRDefault="002A4EB5" w:rsidP="002A4EB5">
            <w:pPr>
              <w:pStyle w:val="ListParagraph"/>
              <w:numPr>
                <w:ilvl w:val="0"/>
                <w:numId w:val="49"/>
              </w:numPr>
            </w:pPr>
            <w:r>
              <w:t xml:space="preserve">Compilation, analysis and publication of results </w:t>
            </w:r>
          </w:p>
          <w:p w14:paraId="7A8BFBCF" w14:textId="0DC36403" w:rsidR="002A4EB5" w:rsidRDefault="002A4EB5" w:rsidP="002A4EB5">
            <w:pPr>
              <w:pStyle w:val="ListParagraph"/>
              <w:numPr>
                <w:ilvl w:val="0"/>
                <w:numId w:val="49"/>
              </w:numPr>
            </w:pPr>
            <w:r>
              <w:t xml:space="preserve">Development of the </w:t>
            </w:r>
            <w:r>
              <w:t xml:space="preserve">Policy Paper </w:t>
            </w:r>
            <w:r>
              <w:t>based on project learnings about</w:t>
            </w:r>
            <w:r>
              <w:t xml:space="preserve"> the Role of CSOs in protecting the EU Charter of Fundamental rights, with a number of recommended </w:t>
            </w:r>
            <w:r>
              <w:t>measures to support that, along with our pan-EU partners.</w:t>
            </w:r>
          </w:p>
          <w:p w14:paraId="3B735C1C" w14:textId="2BAF156D" w:rsidR="002A4EB5" w:rsidRPr="002A4EB5" w:rsidRDefault="002A4EB5" w:rsidP="002A4EB5">
            <w:pPr>
              <w:pStyle w:val="ListParagraph"/>
              <w:numPr>
                <w:ilvl w:val="0"/>
                <w:numId w:val="49"/>
              </w:numPr>
            </w:pPr>
            <w:r>
              <w:t xml:space="preserve">A major EU Conference in Dublin with key EU and Irish Government decision makers and civil society representatives to launch the policy paper and celebrate the impact of the project. </w:t>
            </w:r>
          </w:p>
          <w:p w14:paraId="09A50A91" w14:textId="05DAA5EB" w:rsidR="00DA25CB" w:rsidRDefault="00DA25CB" w:rsidP="00D07876">
            <w:pPr>
              <w:rPr>
                <w:rFonts w:ascii="Cambria" w:hAnsi="Cambria" w:cs="Tahoma"/>
                <w:i/>
              </w:rPr>
            </w:pPr>
          </w:p>
        </w:tc>
      </w:tr>
    </w:tbl>
    <w:p w14:paraId="649317AC" w14:textId="77777777" w:rsidR="00456E45" w:rsidRPr="002A1DCC" w:rsidRDefault="00456E45" w:rsidP="00254B98">
      <w:pPr>
        <w:rPr>
          <w:rFonts w:ascii="Cambria" w:hAnsi="Cambria"/>
        </w:rPr>
      </w:pPr>
    </w:p>
    <w:sectPr w:rsidR="00456E45" w:rsidRPr="002A1DCC" w:rsidSect="00B65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EF4"/>
    <w:multiLevelType w:val="hybridMultilevel"/>
    <w:tmpl w:val="1BFC05B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0DF25BE"/>
    <w:multiLevelType w:val="hybridMultilevel"/>
    <w:tmpl w:val="6C185E3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A17CC3"/>
    <w:multiLevelType w:val="hybridMultilevel"/>
    <w:tmpl w:val="36DCE47A"/>
    <w:lvl w:ilvl="0" w:tplc="18090003">
      <w:start w:val="1"/>
      <w:numFmt w:val="bullet"/>
      <w:lvlText w:val="o"/>
      <w:lvlJc w:val="left"/>
      <w:pPr>
        <w:ind w:left="1425" w:hanging="360"/>
      </w:pPr>
      <w:rPr>
        <w:rFonts w:ascii="Courier New" w:hAnsi="Courier New" w:cs="Courier New"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3" w15:restartNumberingAfterBreak="0">
    <w:nsid w:val="042A66BB"/>
    <w:multiLevelType w:val="hybridMultilevel"/>
    <w:tmpl w:val="C9E61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356A13"/>
    <w:multiLevelType w:val="hybridMultilevel"/>
    <w:tmpl w:val="A95E239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5D57803"/>
    <w:multiLevelType w:val="hybridMultilevel"/>
    <w:tmpl w:val="D5EA07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007D57"/>
    <w:multiLevelType w:val="hybridMultilevel"/>
    <w:tmpl w:val="591C0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A3533A6"/>
    <w:multiLevelType w:val="hybridMultilevel"/>
    <w:tmpl w:val="50E8694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0A9347A1"/>
    <w:multiLevelType w:val="hybridMultilevel"/>
    <w:tmpl w:val="14F8D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0136982"/>
    <w:multiLevelType w:val="hybridMultilevel"/>
    <w:tmpl w:val="E9B436F8"/>
    <w:lvl w:ilvl="0" w:tplc="8DEE86AA">
      <w:start w:val="1"/>
      <w:numFmt w:val="bullet"/>
      <w:lvlText w:val="-"/>
      <w:lvlJc w:val="left"/>
      <w:pPr>
        <w:ind w:left="1080" w:hanging="360"/>
      </w:pPr>
      <w:rPr>
        <w:rFonts w:ascii="Calibri" w:eastAsiaTheme="minorHAnsi" w:hAnsi="Calibri"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1186A67"/>
    <w:multiLevelType w:val="hybridMultilevel"/>
    <w:tmpl w:val="9B7A1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340266B"/>
    <w:multiLevelType w:val="hybridMultilevel"/>
    <w:tmpl w:val="19C04AF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13485D95"/>
    <w:multiLevelType w:val="hybridMultilevel"/>
    <w:tmpl w:val="CC6E3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56E5CA0"/>
    <w:multiLevelType w:val="hybridMultilevel"/>
    <w:tmpl w:val="715A09E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7F5495A"/>
    <w:multiLevelType w:val="hybridMultilevel"/>
    <w:tmpl w:val="8B6C46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A9C0FDD"/>
    <w:multiLevelType w:val="hybridMultilevel"/>
    <w:tmpl w:val="A502B02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EBC3EEE"/>
    <w:multiLevelType w:val="hybridMultilevel"/>
    <w:tmpl w:val="343AF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11841F0"/>
    <w:multiLevelType w:val="multilevel"/>
    <w:tmpl w:val="C4DA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523B1"/>
    <w:multiLevelType w:val="hybridMultilevel"/>
    <w:tmpl w:val="DCD8D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3B0B1D"/>
    <w:multiLevelType w:val="hybridMultilevel"/>
    <w:tmpl w:val="099E3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C2A6FAC"/>
    <w:multiLevelType w:val="hybridMultilevel"/>
    <w:tmpl w:val="E89C6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E70175"/>
    <w:multiLevelType w:val="hybridMultilevel"/>
    <w:tmpl w:val="08F2655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36C7CB7"/>
    <w:multiLevelType w:val="hybridMultilevel"/>
    <w:tmpl w:val="3678E54C"/>
    <w:lvl w:ilvl="0" w:tplc="5CA480E4">
      <w:start w:val="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382402B"/>
    <w:multiLevelType w:val="hybridMultilevel"/>
    <w:tmpl w:val="E84C6BE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8E73E78"/>
    <w:multiLevelType w:val="hybridMultilevel"/>
    <w:tmpl w:val="80E43F92"/>
    <w:lvl w:ilvl="0" w:tplc="5CA480E4">
      <w:start w:val="3"/>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98031F4"/>
    <w:multiLevelType w:val="hybridMultilevel"/>
    <w:tmpl w:val="DABE351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3B461D08"/>
    <w:multiLevelType w:val="hybridMultilevel"/>
    <w:tmpl w:val="020CE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A8671D"/>
    <w:multiLevelType w:val="hybridMultilevel"/>
    <w:tmpl w:val="4648BFF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3DD14714"/>
    <w:multiLevelType w:val="hybridMultilevel"/>
    <w:tmpl w:val="1792B4F4"/>
    <w:lvl w:ilvl="0" w:tplc="58F4F59C">
      <w:start w:val="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170932"/>
    <w:multiLevelType w:val="hybridMultilevel"/>
    <w:tmpl w:val="A4B07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FC35016"/>
    <w:multiLevelType w:val="hybridMultilevel"/>
    <w:tmpl w:val="645A3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B011B5"/>
    <w:multiLevelType w:val="hybridMultilevel"/>
    <w:tmpl w:val="16643A4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3C2198B"/>
    <w:multiLevelType w:val="hybridMultilevel"/>
    <w:tmpl w:val="0D4A1EF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452B38E1"/>
    <w:multiLevelType w:val="hybridMultilevel"/>
    <w:tmpl w:val="86481E4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4D3E08EE"/>
    <w:multiLevelType w:val="hybridMultilevel"/>
    <w:tmpl w:val="B7C20A74"/>
    <w:lvl w:ilvl="0" w:tplc="372E5CD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FDF5EF4"/>
    <w:multiLevelType w:val="hybridMultilevel"/>
    <w:tmpl w:val="E1E6D81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8810456"/>
    <w:multiLevelType w:val="hybridMultilevel"/>
    <w:tmpl w:val="03AC529E"/>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15:restartNumberingAfterBreak="0">
    <w:nsid w:val="5C2B1F8C"/>
    <w:multiLevelType w:val="hybridMultilevel"/>
    <w:tmpl w:val="2A2C61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5BC366B"/>
    <w:multiLevelType w:val="hybridMultilevel"/>
    <w:tmpl w:val="CAA0D1E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5A3DF1"/>
    <w:multiLevelType w:val="hybridMultilevel"/>
    <w:tmpl w:val="DD8E2C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6149DB"/>
    <w:multiLevelType w:val="hybridMultilevel"/>
    <w:tmpl w:val="9A44B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747B9"/>
    <w:multiLevelType w:val="hybridMultilevel"/>
    <w:tmpl w:val="9726FB9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6F6D0163"/>
    <w:multiLevelType w:val="hybridMultilevel"/>
    <w:tmpl w:val="D362E3F2"/>
    <w:lvl w:ilvl="0" w:tplc="18090005">
      <w:start w:val="1"/>
      <w:numFmt w:val="bullet"/>
      <w:lvlText w:val=""/>
      <w:lvlJc w:val="left"/>
      <w:pPr>
        <w:ind w:left="2145" w:hanging="360"/>
      </w:pPr>
      <w:rPr>
        <w:rFonts w:ascii="Wingdings" w:hAnsi="Wingdings" w:hint="default"/>
      </w:rPr>
    </w:lvl>
    <w:lvl w:ilvl="1" w:tplc="18090003" w:tentative="1">
      <w:start w:val="1"/>
      <w:numFmt w:val="bullet"/>
      <w:lvlText w:val="o"/>
      <w:lvlJc w:val="left"/>
      <w:pPr>
        <w:ind w:left="2865" w:hanging="360"/>
      </w:pPr>
      <w:rPr>
        <w:rFonts w:ascii="Courier New" w:hAnsi="Courier New" w:cs="Courier New" w:hint="default"/>
      </w:rPr>
    </w:lvl>
    <w:lvl w:ilvl="2" w:tplc="18090005" w:tentative="1">
      <w:start w:val="1"/>
      <w:numFmt w:val="bullet"/>
      <w:lvlText w:val=""/>
      <w:lvlJc w:val="left"/>
      <w:pPr>
        <w:ind w:left="3585" w:hanging="360"/>
      </w:pPr>
      <w:rPr>
        <w:rFonts w:ascii="Wingdings" w:hAnsi="Wingdings" w:hint="default"/>
      </w:rPr>
    </w:lvl>
    <w:lvl w:ilvl="3" w:tplc="18090001" w:tentative="1">
      <w:start w:val="1"/>
      <w:numFmt w:val="bullet"/>
      <w:lvlText w:val=""/>
      <w:lvlJc w:val="left"/>
      <w:pPr>
        <w:ind w:left="4305" w:hanging="360"/>
      </w:pPr>
      <w:rPr>
        <w:rFonts w:ascii="Symbol" w:hAnsi="Symbol" w:hint="default"/>
      </w:rPr>
    </w:lvl>
    <w:lvl w:ilvl="4" w:tplc="18090003" w:tentative="1">
      <w:start w:val="1"/>
      <w:numFmt w:val="bullet"/>
      <w:lvlText w:val="o"/>
      <w:lvlJc w:val="left"/>
      <w:pPr>
        <w:ind w:left="5025" w:hanging="360"/>
      </w:pPr>
      <w:rPr>
        <w:rFonts w:ascii="Courier New" w:hAnsi="Courier New" w:cs="Courier New" w:hint="default"/>
      </w:rPr>
    </w:lvl>
    <w:lvl w:ilvl="5" w:tplc="18090005" w:tentative="1">
      <w:start w:val="1"/>
      <w:numFmt w:val="bullet"/>
      <w:lvlText w:val=""/>
      <w:lvlJc w:val="left"/>
      <w:pPr>
        <w:ind w:left="5745" w:hanging="360"/>
      </w:pPr>
      <w:rPr>
        <w:rFonts w:ascii="Wingdings" w:hAnsi="Wingdings" w:hint="default"/>
      </w:rPr>
    </w:lvl>
    <w:lvl w:ilvl="6" w:tplc="18090001" w:tentative="1">
      <w:start w:val="1"/>
      <w:numFmt w:val="bullet"/>
      <w:lvlText w:val=""/>
      <w:lvlJc w:val="left"/>
      <w:pPr>
        <w:ind w:left="6465" w:hanging="360"/>
      </w:pPr>
      <w:rPr>
        <w:rFonts w:ascii="Symbol" w:hAnsi="Symbol" w:hint="default"/>
      </w:rPr>
    </w:lvl>
    <w:lvl w:ilvl="7" w:tplc="18090003" w:tentative="1">
      <w:start w:val="1"/>
      <w:numFmt w:val="bullet"/>
      <w:lvlText w:val="o"/>
      <w:lvlJc w:val="left"/>
      <w:pPr>
        <w:ind w:left="7185" w:hanging="360"/>
      </w:pPr>
      <w:rPr>
        <w:rFonts w:ascii="Courier New" w:hAnsi="Courier New" w:cs="Courier New" w:hint="default"/>
      </w:rPr>
    </w:lvl>
    <w:lvl w:ilvl="8" w:tplc="18090005" w:tentative="1">
      <w:start w:val="1"/>
      <w:numFmt w:val="bullet"/>
      <w:lvlText w:val=""/>
      <w:lvlJc w:val="left"/>
      <w:pPr>
        <w:ind w:left="7905" w:hanging="360"/>
      </w:pPr>
      <w:rPr>
        <w:rFonts w:ascii="Wingdings" w:hAnsi="Wingdings" w:hint="default"/>
      </w:rPr>
    </w:lvl>
  </w:abstractNum>
  <w:abstractNum w:abstractNumId="43" w15:restartNumberingAfterBreak="0">
    <w:nsid w:val="6FBC51BD"/>
    <w:multiLevelType w:val="hybridMultilevel"/>
    <w:tmpl w:val="F524EDF6"/>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4" w15:restartNumberingAfterBreak="0">
    <w:nsid w:val="71882FCA"/>
    <w:multiLevelType w:val="hybridMultilevel"/>
    <w:tmpl w:val="2A324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B24D19"/>
    <w:multiLevelType w:val="hybridMultilevel"/>
    <w:tmpl w:val="2256B310"/>
    <w:lvl w:ilvl="0" w:tplc="58F4F59C">
      <w:start w:val="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EC4EF0"/>
    <w:multiLevelType w:val="hybridMultilevel"/>
    <w:tmpl w:val="2ED026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6475403"/>
    <w:multiLevelType w:val="hybridMultilevel"/>
    <w:tmpl w:val="90441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A223755"/>
    <w:multiLevelType w:val="hybridMultilevel"/>
    <w:tmpl w:val="72E2C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48"/>
  </w:num>
  <w:num w:numId="3">
    <w:abstractNumId w:val="30"/>
  </w:num>
  <w:num w:numId="4">
    <w:abstractNumId w:val="40"/>
  </w:num>
  <w:num w:numId="5">
    <w:abstractNumId w:val="45"/>
  </w:num>
  <w:num w:numId="6">
    <w:abstractNumId w:val="19"/>
  </w:num>
  <w:num w:numId="7">
    <w:abstractNumId w:val="12"/>
  </w:num>
  <w:num w:numId="8">
    <w:abstractNumId w:val="18"/>
  </w:num>
  <w:num w:numId="9">
    <w:abstractNumId w:val="10"/>
  </w:num>
  <w:num w:numId="10">
    <w:abstractNumId w:val="29"/>
  </w:num>
  <w:num w:numId="11">
    <w:abstractNumId w:val="34"/>
  </w:num>
  <w:num w:numId="12">
    <w:abstractNumId w:val="21"/>
  </w:num>
  <w:num w:numId="13">
    <w:abstractNumId w:val="26"/>
  </w:num>
  <w:num w:numId="14">
    <w:abstractNumId w:val="46"/>
  </w:num>
  <w:num w:numId="15">
    <w:abstractNumId w:val="0"/>
  </w:num>
  <w:num w:numId="16">
    <w:abstractNumId w:val="7"/>
  </w:num>
  <w:num w:numId="17">
    <w:abstractNumId w:val="11"/>
  </w:num>
  <w:num w:numId="18">
    <w:abstractNumId w:val="8"/>
  </w:num>
  <w:num w:numId="19">
    <w:abstractNumId w:val="4"/>
  </w:num>
  <w:num w:numId="20">
    <w:abstractNumId w:val="32"/>
  </w:num>
  <w:num w:numId="21">
    <w:abstractNumId w:val="14"/>
  </w:num>
  <w:num w:numId="22">
    <w:abstractNumId w:val="27"/>
  </w:num>
  <w:num w:numId="23">
    <w:abstractNumId w:val="1"/>
  </w:num>
  <w:num w:numId="24">
    <w:abstractNumId w:val="25"/>
  </w:num>
  <w:num w:numId="25">
    <w:abstractNumId w:val="44"/>
  </w:num>
  <w:num w:numId="26">
    <w:abstractNumId w:val="6"/>
  </w:num>
  <w:num w:numId="27">
    <w:abstractNumId w:val="41"/>
  </w:num>
  <w:num w:numId="28">
    <w:abstractNumId w:val="33"/>
  </w:num>
  <w:num w:numId="29">
    <w:abstractNumId w:val="20"/>
  </w:num>
  <w:num w:numId="30">
    <w:abstractNumId w:val="16"/>
  </w:num>
  <w:num w:numId="31">
    <w:abstractNumId w:val="47"/>
  </w:num>
  <w:num w:numId="32">
    <w:abstractNumId w:val="23"/>
  </w:num>
  <w:num w:numId="33">
    <w:abstractNumId w:val="9"/>
  </w:num>
  <w:num w:numId="34">
    <w:abstractNumId w:val="36"/>
  </w:num>
  <w:num w:numId="35">
    <w:abstractNumId w:val="2"/>
  </w:num>
  <w:num w:numId="36">
    <w:abstractNumId w:val="42"/>
  </w:num>
  <w:num w:numId="37">
    <w:abstractNumId w:val="31"/>
  </w:num>
  <w:num w:numId="38">
    <w:abstractNumId w:val="38"/>
  </w:num>
  <w:num w:numId="39">
    <w:abstractNumId w:val="37"/>
  </w:num>
  <w:num w:numId="40">
    <w:abstractNumId w:val="13"/>
  </w:num>
  <w:num w:numId="41">
    <w:abstractNumId w:val="5"/>
  </w:num>
  <w:num w:numId="42">
    <w:abstractNumId w:val="15"/>
  </w:num>
  <w:num w:numId="43">
    <w:abstractNumId w:val="17"/>
  </w:num>
  <w:num w:numId="44">
    <w:abstractNumId w:val="35"/>
  </w:num>
  <w:num w:numId="45">
    <w:abstractNumId w:val="3"/>
  </w:num>
  <w:num w:numId="46">
    <w:abstractNumId w:val="39"/>
  </w:num>
  <w:num w:numId="47">
    <w:abstractNumId w:val="22"/>
  </w:num>
  <w:num w:numId="48">
    <w:abstractNumId w:val="4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D8"/>
    <w:rsid w:val="00033004"/>
    <w:rsid w:val="00042535"/>
    <w:rsid w:val="00057950"/>
    <w:rsid w:val="00070E2E"/>
    <w:rsid w:val="0009093C"/>
    <w:rsid w:val="00094E9D"/>
    <w:rsid w:val="00097687"/>
    <w:rsid w:val="000B1A8E"/>
    <w:rsid w:val="000B7EC2"/>
    <w:rsid w:val="000C0177"/>
    <w:rsid w:val="000E493C"/>
    <w:rsid w:val="000F4927"/>
    <w:rsid w:val="00132862"/>
    <w:rsid w:val="001473DE"/>
    <w:rsid w:val="00171847"/>
    <w:rsid w:val="00183887"/>
    <w:rsid w:val="001851F0"/>
    <w:rsid w:val="00185A32"/>
    <w:rsid w:val="001902C8"/>
    <w:rsid w:val="001D772E"/>
    <w:rsid w:val="001E58CD"/>
    <w:rsid w:val="001F3205"/>
    <w:rsid w:val="002128BA"/>
    <w:rsid w:val="00215976"/>
    <w:rsid w:val="002309BB"/>
    <w:rsid w:val="0025498C"/>
    <w:rsid w:val="00254B98"/>
    <w:rsid w:val="00261D5B"/>
    <w:rsid w:val="0028216C"/>
    <w:rsid w:val="002870D3"/>
    <w:rsid w:val="00291E9A"/>
    <w:rsid w:val="002A1DCC"/>
    <w:rsid w:val="002A4EB5"/>
    <w:rsid w:val="002B5DFA"/>
    <w:rsid w:val="002C4366"/>
    <w:rsid w:val="002C51AB"/>
    <w:rsid w:val="002D78D0"/>
    <w:rsid w:val="002E0A4C"/>
    <w:rsid w:val="003002EC"/>
    <w:rsid w:val="00304F2F"/>
    <w:rsid w:val="003072DA"/>
    <w:rsid w:val="003160E8"/>
    <w:rsid w:val="00330EDD"/>
    <w:rsid w:val="00336958"/>
    <w:rsid w:val="00352421"/>
    <w:rsid w:val="00356F4B"/>
    <w:rsid w:val="0036250A"/>
    <w:rsid w:val="00381921"/>
    <w:rsid w:val="003919B6"/>
    <w:rsid w:val="003D43BB"/>
    <w:rsid w:val="00403121"/>
    <w:rsid w:val="0041448E"/>
    <w:rsid w:val="0042070B"/>
    <w:rsid w:val="00440266"/>
    <w:rsid w:val="00452891"/>
    <w:rsid w:val="00456310"/>
    <w:rsid w:val="00456E45"/>
    <w:rsid w:val="00457269"/>
    <w:rsid w:val="00470DD7"/>
    <w:rsid w:val="004732B7"/>
    <w:rsid w:val="004924F1"/>
    <w:rsid w:val="0049711E"/>
    <w:rsid w:val="0049738A"/>
    <w:rsid w:val="004A693D"/>
    <w:rsid w:val="004A6D1B"/>
    <w:rsid w:val="004C029B"/>
    <w:rsid w:val="004F1275"/>
    <w:rsid w:val="004F6EF9"/>
    <w:rsid w:val="004F7CBA"/>
    <w:rsid w:val="00504E10"/>
    <w:rsid w:val="005056B9"/>
    <w:rsid w:val="00505DC4"/>
    <w:rsid w:val="00512E14"/>
    <w:rsid w:val="005236E5"/>
    <w:rsid w:val="0053006F"/>
    <w:rsid w:val="00535462"/>
    <w:rsid w:val="00564E9C"/>
    <w:rsid w:val="00576BB1"/>
    <w:rsid w:val="005B6D46"/>
    <w:rsid w:val="005C692E"/>
    <w:rsid w:val="005C7CAD"/>
    <w:rsid w:val="005D15F7"/>
    <w:rsid w:val="005D7459"/>
    <w:rsid w:val="00631849"/>
    <w:rsid w:val="00636508"/>
    <w:rsid w:val="006473F6"/>
    <w:rsid w:val="0064740A"/>
    <w:rsid w:val="00650097"/>
    <w:rsid w:val="00650461"/>
    <w:rsid w:val="00653789"/>
    <w:rsid w:val="006A4A4A"/>
    <w:rsid w:val="006A6CE3"/>
    <w:rsid w:val="006B3110"/>
    <w:rsid w:val="006F376B"/>
    <w:rsid w:val="00704B1D"/>
    <w:rsid w:val="007050B7"/>
    <w:rsid w:val="00720E0A"/>
    <w:rsid w:val="007255C2"/>
    <w:rsid w:val="00752F85"/>
    <w:rsid w:val="007553A4"/>
    <w:rsid w:val="00757577"/>
    <w:rsid w:val="0078373F"/>
    <w:rsid w:val="007853D7"/>
    <w:rsid w:val="00785C38"/>
    <w:rsid w:val="00786268"/>
    <w:rsid w:val="00793342"/>
    <w:rsid w:val="0079467D"/>
    <w:rsid w:val="007B46E3"/>
    <w:rsid w:val="007B5BF9"/>
    <w:rsid w:val="007D3E04"/>
    <w:rsid w:val="007F173B"/>
    <w:rsid w:val="007F5BA8"/>
    <w:rsid w:val="00831822"/>
    <w:rsid w:val="00833FAE"/>
    <w:rsid w:val="008446E5"/>
    <w:rsid w:val="008459A6"/>
    <w:rsid w:val="00847F4B"/>
    <w:rsid w:val="008840FF"/>
    <w:rsid w:val="008945E6"/>
    <w:rsid w:val="008A3D17"/>
    <w:rsid w:val="008A43ED"/>
    <w:rsid w:val="008B3C0E"/>
    <w:rsid w:val="008B4EAD"/>
    <w:rsid w:val="008B6F4C"/>
    <w:rsid w:val="008C0A57"/>
    <w:rsid w:val="008C7722"/>
    <w:rsid w:val="008D1DD3"/>
    <w:rsid w:val="008E5B79"/>
    <w:rsid w:val="008E61B4"/>
    <w:rsid w:val="008F33B1"/>
    <w:rsid w:val="00904C01"/>
    <w:rsid w:val="00913460"/>
    <w:rsid w:val="00936DB8"/>
    <w:rsid w:val="00951438"/>
    <w:rsid w:val="0095356E"/>
    <w:rsid w:val="00956837"/>
    <w:rsid w:val="00961CDB"/>
    <w:rsid w:val="00966D19"/>
    <w:rsid w:val="009705E2"/>
    <w:rsid w:val="009759B8"/>
    <w:rsid w:val="00980F54"/>
    <w:rsid w:val="0099015E"/>
    <w:rsid w:val="0099735F"/>
    <w:rsid w:val="009B33AD"/>
    <w:rsid w:val="009C15D5"/>
    <w:rsid w:val="009C15F3"/>
    <w:rsid w:val="009C6FBD"/>
    <w:rsid w:val="009C79BA"/>
    <w:rsid w:val="009D69B2"/>
    <w:rsid w:val="009F5727"/>
    <w:rsid w:val="00A1086B"/>
    <w:rsid w:val="00A2530D"/>
    <w:rsid w:val="00A25A76"/>
    <w:rsid w:val="00A3173D"/>
    <w:rsid w:val="00A32C18"/>
    <w:rsid w:val="00A44AB4"/>
    <w:rsid w:val="00A53FD1"/>
    <w:rsid w:val="00A772D7"/>
    <w:rsid w:val="00A8414B"/>
    <w:rsid w:val="00A965D9"/>
    <w:rsid w:val="00AA2F3F"/>
    <w:rsid w:val="00AA72A5"/>
    <w:rsid w:val="00AB1FEC"/>
    <w:rsid w:val="00AC205A"/>
    <w:rsid w:val="00AD1E87"/>
    <w:rsid w:val="00AF2CE9"/>
    <w:rsid w:val="00B12BF0"/>
    <w:rsid w:val="00B21695"/>
    <w:rsid w:val="00B45843"/>
    <w:rsid w:val="00B65C88"/>
    <w:rsid w:val="00B85AC6"/>
    <w:rsid w:val="00B96E80"/>
    <w:rsid w:val="00B972A5"/>
    <w:rsid w:val="00BE77F4"/>
    <w:rsid w:val="00BF09CF"/>
    <w:rsid w:val="00BF670A"/>
    <w:rsid w:val="00C26DF7"/>
    <w:rsid w:val="00C36173"/>
    <w:rsid w:val="00C37E0A"/>
    <w:rsid w:val="00C44B65"/>
    <w:rsid w:val="00C82954"/>
    <w:rsid w:val="00C9559E"/>
    <w:rsid w:val="00CA6870"/>
    <w:rsid w:val="00CB2D94"/>
    <w:rsid w:val="00CB6354"/>
    <w:rsid w:val="00CF037C"/>
    <w:rsid w:val="00CF6C75"/>
    <w:rsid w:val="00D07876"/>
    <w:rsid w:val="00D10BD8"/>
    <w:rsid w:val="00D13786"/>
    <w:rsid w:val="00D209E2"/>
    <w:rsid w:val="00D23B00"/>
    <w:rsid w:val="00D36768"/>
    <w:rsid w:val="00D41AD0"/>
    <w:rsid w:val="00D42A58"/>
    <w:rsid w:val="00D458F6"/>
    <w:rsid w:val="00D6031A"/>
    <w:rsid w:val="00D80C58"/>
    <w:rsid w:val="00D95C02"/>
    <w:rsid w:val="00DA25CB"/>
    <w:rsid w:val="00DB4555"/>
    <w:rsid w:val="00DC185A"/>
    <w:rsid w:val="00DE57B7"/>
    <w:rsid w:val="00DE705F"/>
    <w:rsid w:val="00DF53B5"/>
    <w:rsid w:val="00E44BF6"/>
    <w:rsid w:val="00E459CB"/>
    <w:rsid w:val="00E45DC3"/>
    <w:rsid w:val="00E50CBC"/>
    <w:rsid w:val="00E54AB7"/>
    <w:rsid w:val="00E57067"/>
    <w:rsid w:val="00E6339F"/>
    <w:rsid w:val="00E77450"/>
    <w:rsid w:val="00E87913"/>
    <w:rsid w:val="00E90154"/>
    <w:rsid w:val="00E932E9"/>
    <w:rsid w:val="00EA6B5A"/>
    <w:rsid w:val="00EB7C4D"/>
    <w:rsid w:val="00EC1037"/>
    <w:rsid w:val="00ED616F"/>
    <w:rsid w:val="00EE294C"/>
    <w:rsid w:val="00EE40EA"/>
    <w:rsid w:val="00EF4F94"/>
    <w:rsid w:val="00F21784"/>
    <w:rsid w:val="00F30496"/>
    <w:rsid w:val="00F467A3"/>
    <w:rsid w:val="00F47692"/>
    <w:rsid w:val="00F603B4"/>
    <w:rsid w:val="00F60D90"/>
    <w:rsid w:val="00F6362A"/>
    <w:rsid w:val="00F761FC"/>
    <w:rsid w:val="00F86B22"/>
    <w:rsid w:val="00F946ED"/>
    <w:rsid w:val="00FA61CF"/>
    <w:rsid w:val="00FB75B5"/>
    <w:rsid w:val="00FC1BA2"/>
    <w:rsid w:val="00FC5797"/>
    <w:rsid w:val="00FF4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27F"/>
  <w15:docId w15:val="{B458E60F-7EE3-4C44-B2F3-0F807984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C88"/>
  </w:style>
  <w:style w:type="paragraph" w:styleId="Heading1">
    <w:name w:val="heading 1"/>
    <w:basedOn w:val="Normal"/>
    <w:next w:val="Normal"/>
    <w:link w:val="Heading1Char"/>
    <w:uiPriority w:val="9"/>
    <w:qFormat/>
    <w:rsid w:val="00E77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4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5D5"/>
    <w:pPr>
      <w:ind w:left="720"/>
      <w:contextualSpacing/>
    </w:pPr>
  </w:style>
  <w:style w:type="paragraph" w:customStyle="1" w:styleId="Default">
    <w:name w:val="Default"/>
    <w:rsid w:val="00B45843"/>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uiPriority w:val="1"/>
    <w:qFormat/>
    <w:rsid w:val="00E77450"/>
    <w:pPr>
      <w:spacing w:after="0" w:line="240" w:lineRule="auto"/>
    </w:pPr>
  </w:style>
  <w:style w:type="character" w:customStyle="1" w:styleId="Heading1Char">
    <w:name w:val="Heading 1 Char"/>
    <w:basedOn w:val="DefaultParagraphFont"/>
    <w:link w:val="Heading1"/>
    <w:uiPriority w:val="9"/>
    <w:rsid w:val="00E774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745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85C38"/>
    <w:rPr>
      <w:color w:val="0000FF" w:themeColor="hyperlink"/>
      <w:u w:val="single"/>
    </w:rPr>
  </w:style>
  <w:style w:type="character" w:styleId="CommentReference">
    <w:name w:val="annotation reference"/>
    <w:basedOn w:val="DefaultParagraphFont"/>
    <w:uiPriority w:val="99"/>
    <w:semiHidden/>
    <w:unhideWhenUsed/>
    <w:rsid w:val="000B1A8E"/>
    <w:rPr>
      <w:sz w:val="16"/>
      <w:szCs w:val="16"/>
    </w:rPr>
  </w:style>
  <w:style w:type="paragraph" w:styleId="CommentText">
    <w:name w:val="annotation text"/>
    <w:basedOn w:val="Normal"/>
    <w:link w:val="CommentTextChar"/>
    <w:uiPriority w:val="99"/>
    <w:semiHidden/>
    <w:unhideWhenUsed/>
    <w:rsid w:val="000B1A8E"/>
    <w:pPr>
      <w:spacing w:line="240" w:lineRule="auto"/>
    </w:pPr>
    <w:rPr>
      <w:sz w:val="20"/>
      <w:szCs w:val="20"/>
    </w:rPr>
  </w:style>
  <w:style w:type="character" w:customStyle="1" w:styleId="CommentTextChar">
    <w:name w:val="Comment Text Char"/>
    <w:basedOn w:val="DefaultParagraphFont"/>
    <w:link w:val="CommentText"/>
    <w:uiPriority w:val="99"/>
    <w:semiHidden/>
    <w:rsid w:val="000B1A8E"/>
    <w:rPr>
      <w:sz w:val="20"/>
      <w:szCs w:val="20"/>
    </w:rPr>
  </w:style>
  <w:style w:type="paragraph" w:styleId="CommentSubject">
    <w:name w:val="annotation subject"/>
    <w:basedOn w:val="CommentText"/>
    <w:next w:val="CommentText"/>
    <w:link w:val="CommentSubjectChar"/>
    <w:uiPriority w:val="99"/>
    <w:semiHidden/>
    <w:unhideWhenUsed/>
    <w:rsid w:val="000B1A8E"/>
    <w:rPr>
      <w:b/>
      <w:bCs/>
    </w:rPr>
  </w:style>
  <w:style w:type="character" w:customStyle="1" w:styleId="CommentSubjectChar">
    <w:name w:val="Comment Subject Char"/>
    <w:basedOn w:val="CommentTextChar"/>
    <w:link w:val="CommentSubject"/>
    <w:uiPriority w:val="99"/>
    <w:semiHidden/>
    <w:rsid w:val="000B1A8E"/>
    <w:rPr>
      <w:b/>
      <w:bCs/>
      <w:sz w:val="20"/>
      <w:szCs w:val="20"/>
    </w:rPr>
  </w:style>
  <w:style w:type="paragraph" w:styleId="BalloonText">
    <w:name w:val="Balloon Text"/>
    <w:basedOn w:val="Normal"/>
    <w:link w:val="BalloonTextChar"/>
    <w:uiPriority w:val="99"/>
    <w:semiHidden/>
    <w:unhideWhenUsed/>
    <w:rsid w:val="000B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8E"/>
    <w:rPr>
      <w:rFonts w:ascii="Segoe UI" w:hAnsi="Segoe UI" w:cs="Segoe UI"/>
      <w:sz w:val="18"/>
      <w:szCs w:val="18"/>
    </w:rPr>
  </w:style>
  <w:style w:type="paragraph" w:styleId="NormalWeb">
    <w:name w:val="Normal (Web)"/>
    <w:basedOn w:val="Normal"/>
    <w:uiPriority w:val="99"/>
    <w:semiHidden/>
    <w:unhideWhenUsed/>
    <w:rsid w:val="008E5B7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Title">
    <w:name w:val="Title"/>
    <w:basedOn w:val="Normal"/>
    <w:next w:val="Normal"/>
    <w:link w:val="TitleChar"/>
    <w:uiPriority w:val="10"/>
    <w:qFormat/>
    <w:rsid w:val="00D078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8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47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199">
      <w:bodyDiv w:val="1"/>
      <w:marLeft w:val="0"/>
      <w:marRight w:val="0"/>
      <w:marTop w:val="0"/>
      <w:marBottom w:val="0"/>
      <w:divBdr>
        <w:top w:val="none" w:sz="0" w:space="0" w:color="auto"/>
        <w:left w:val="none" w:sz="0" w:space="0" w:color="auto"/>
        <w:bottom w:val="none" w:sz="0" w:space="0" w:color="auto"/>
        <w:right w:val="none" w:sz="0" w:space="0" w:color="auto"/>
      </w:divBdr>
    </w:div>
    <w:div w:id="8795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7d9653-6020-48b0-ad99-8e2dade91c3a" xsi:nil="true"/>
    <lcf76f155ced4ddcb4097134ff3c332f xmlns="7819cc9b-e8e0-4961-849f-332d1aaf6e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512512253464CBC97C856D6686A60" ma:contentTypeVersion="16" ma:contentTypeDescription="Create a new document." ma:contentTypeScope="" ma:versionID="a9c5c205f3d3a50a1836915a13dc07d8">
  <xsd:schema xmlns:xsd="http://www.w3.org/2001/XMLSchema" xmlns:xs="http://www.w3.org/2001/XMLSchema" xmlns:p="http://schemas.microsoft.com/office/2006/metadata/properties" xmlns:ns2="7819cc9b-e8e0-4961-849f-332d1aaf6eb5" xmlns:ns3="b15e45fa-e20f-4d5c-b1f6-3f208ecb2ed3" xmlns:ns4="e87d9653-6020-48b0-ad99-8e2dade91c3a" targetNamespace="http://schemas.microsoft.com/office/2006/metadata/properties" ma:root="true" ma:fieldsID="d6b6625f6557bf7c054851671f9f4d77" ns2:_="" ns3:_="" ns4:_="">
    <xsd:import namespace="7819cc9b-e8e0-4961-849f-332d1aaf6eb5"/>
    <xsd:import namespace="b15e45fa-e20f-4d5c-b1f6-3f208ecb2ed3"/>
    <xsd:import namespace="e87d9653-6020-48b0-ad99-8e2dade91c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cc9b-e8e0-4961-849f-332d1aaf6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a0b2a2-40d6-4e5d-b5fd-ec3bc7c0e0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e45fa-e20f-4d5c-b1f6-3f208ecb2e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d9653-6020-48b0-ad99-8e2dade91c3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a18fad-cbab-404f-a219-15faba108949}" ma:internalName="TaxCatchAll" ma:showField="CatchAllData" ma:web="e87d9653-6020-48b0-ad99-8e2dade9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67E7-0C04-49F2-BD83-A19C09CA50BF}">
  <ds:schemaRefs>
    <ds:schemaRef ds:uri="http://schemas.microsoft.com/sharepoint/v3/contenttype/forms"/>
  </ds:schemaRefs>
</ds:datastoreItem>
</file>

<file path=customXml/itemProps2.xml><?xml version="1.0" encoding="utf-8"?>
<ds:datastoreItem xmlns:ds="http://schemas.openxmlformats.org/officeDocument/2006/customXml" ds:itemID="{BB1DA979-5036-49BD-A556-59894616B89E}">
  <ds:schemaRefs>
    <ds:schemaRef ds:uri="http://schemas.microsoft.com/office/2006/metadata/properties"/>
    <ds:schemaRef ds:uri="http://schemas.microsoft.com/office/infopath/2007/PartnerControls"/>
    <ds:schemaRef ds:uri="e87d9653-6020-48b0-ad99-8e2dade91c3a"/>
    <ds:schemaRef ds:uri="7819cc9b-e8e0-4961-849f-332d1aaf6eb5"/>
  </ds:schemaRefs>
</ds:datastoreItem>
</file>

<file path=customXml/itemProps3.xml><?xml version="1.0" encoding="utf-8"?>
<ds:datastoreItem xmlns:ds="http://schemas.openxmlformats.org/officeDocument/2006/customXml" ds:itemID="{84F84FF3-7B62-4CB5-9912-921EDEBC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9cc9b-e8e0-4961-849f-332d1aaf6eb5"/>
    <ds:schemaRef ds:uri="b15e45fa-e20f-4d5c-b1f6-3f208ecb2ed3"/>
    <ds:schemaRef ds:uri="e87d9653-6020-48b0-ad99-8e2dade9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6233E-CF49-4C7E-879E-F5266BB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Emma Murtagh</cp:lastModifiedBy>
  <cp:revision>3</cp:revision>
  <cp:lastPrinted>2015-07-21T16:54:00Z</cp:lastPrinted>
  <dcterms:created xsi:type="dcterms:W3CDTF">2020-09-22T12:58:00Z</dcterms:created>
  <dcterms:modified xsi:type="dcterms:W3CDTF">2023-05-11T14:53:00Z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0x0101001A0512512253464CBC97C856D6686A60</vt:lpwstr>
  </property>
</Properties>
</file>